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tabs>
          <w:tab w:pos="7118" w:val="left" w:leader="none"/>
        </w:tabs>
        <w:spacing w:before="37"/>
      </w:pPr>
      <w:bookmarkStart w:name="Part 2 Fiscal Year 2017 Reporting" w:id="1"/>
      <w:bookmarkEnd w:id="1"/>
      <w:r>
        <w:rPr>
          <w:b w:val="0"/>
        </w:rPr>
      </w:r>
      <w:r>
        <w:rPr/>
        <w:t>Part</w:t>
      </w:r>
      <w:r>
        <w:rPr>
          <w:spacing w:val="-7"/>
        </w:rPr>
        <w:t> </w:t>
      </w:r>
      <w:r>
        <w:rPr/>
        <w:t>2</w:t>
        <w:tab/>
        <w:t>Fiscal</w:t>
      </w:r>
      <w:r>
        <w:rPr>
          <w:spacing w:val="-14"/>
        </w:rPr>
        <w:t> </w:t>
      </w:r>
      <w:r>
        <w:rPr/>
        <w:t>Year</w:t>
      </w:r>
      <w:r>
        <w:rPr>
          <w:spacing w:val="-14"/>
        </w:rPr>
        <w:t> </w:t>
      </w:r>
      <w:r>
        <w:rPr/>
        <w:t>2017</w:t>
      </w:r>
      <w:r>
        <w:rPr>
          <w:spacing w:val="-16"/>
        </w:rPr>
        <w:t> </w:t>
      </w:r>
      <w:r>
        <w:rPr/>
        <w:t>Reporting</w:t>
      </w:r>
    </w:p>
    <w:p>
      <w:pPr>
        <w:pStyle w:val="BodyText"/>
        <w:rPr>
          <w:rFonts w:ascii="Calibri"/>
          <w:b/>
          <w:sz w:val="22"/>
        </w:rPr>
      </w:pPr>
    </w:p>
    <w:p>
      <w:pPr>
        <w:tabs>
          <w:tab w:pos="8534" w:val="left" w:leader="none"/>
        </w:tabs>
        <w:spacing w:before="0"/>
        <w:ind w:left="120" w:right="0" w:firstLine="0"/>
        <w:jc w:val="left"/>
        <w:rPr>
          <w:rFonts w:ascii="Calibri"/>
          <w:b/>
          <w:sz w:val="22"/>
        </w:rPr>
      </w:pPr>
      <w:r>
        <w:rPr>
          <w:rFonts w:ascii="Calibri"/>
          <w:b/>
          <w:sz w:val="22"/>
        </w:rPr>
        <w:t>SUPPLEMENT</w:t>
        <w:tab/>
        <w:t>Section</w:t>
      </w:r>
      <w:r>
        <w:rPr>
          <w:rFonts w:ascii="Calibri"/>
          <w:b/>
          <w:spacing w:val="-16"/>
          <w:sz w:val="22"/>
        </w:rPr>
        <w:t> </w:t>
      </w:r>
      <w:r>
        <w:rPr>
          <w:rFonts w:ascii="Calibri"/>
          <w:b/>
          <w:spacing w:val="-2"/>
          <w:sz w:val="22"/>
        </w:rPr>
        <w:t>VII</w:t>
      </w:r>
    </w:p>
    <w:p>
      <w:pPr>
        <w:pStyle w:val="BodyText"/>
        <w:rPr>
          <w:rFonts w:ascii="Calibri"/>
          <w:b/>
          <w:sz w:val="22"/>
        </w:rPr>
      </w:pPr>
    </w:p>
    <w:p>
      <w:pPr>
        <w:pStyle w:val="Heading2"/>
        <w:spacing w:before="182"/>
        <w:ind w:left="3036" w:right="2954" w:firstLine="441"/>
      </w:pPr>
      <w:bookmarkStart w:name="U.S. Standard General Ledger" w:id="2"/>
      <w:bookmarkEnd w:id="2"/>
      <w:r>
        <w:rPr>
          <w:b w:val="0"/>
        </w:rPr>
      </w:r>
      <w:r>
        <w:rPr>
          <w:color w:val="2E2E2E"/>
        </w:rPr>
        <w:t>U.S. Standard General Ledger </w:t>
      </w:r>
      <w:bookmarkStart w:name="Section VII: GTAS Validations and Edits" w:id="3"/>
      <w:bookmarkEnd w:id="3"/>
      <w:r>
        <w:rPr>
          <w:color w:val="2E2E2E"/>
        </w:rPr>
      </w:r>
      <w:r>
        <w:rPr>
          <w:color w:val="2E2E2E"/>
        </w:rPr>
        <w:t>Section VII: GTAS Validations and Edits</w:t>
      </w:r>
    </w:p>
    <w:p>
      <w:pPr>
        <w:pStyle w:val="BodyText"/>
        <w:spacing w:before="7"/>
        <w:rPr>
          <w:b/>
          <w:sz w:val="25"/>
        </w:rPr>
      </w:pPr>
    </w:p>
    <w:p>
      <w:pPr>
        <w:pStyle w:val="BodyText"/>
        <w:ind w:left="120" w:right="346"/>
      </w:pPr>
      <w:r>
        <w:rPr>
          <w:color w:val="2E2E2E"/>
        </w:rPr>
        <w:t>One of the goals the Bureau of the Fiscal Service (Fiscal Service) has envisioned for GTAS is to improve the consistency in agency trial balance reporting. This will be accomplished through validations and edits.</w:t>
      </w:r>
    </w:p>
    <w:p>
      <w:pPr>
        <w:pStyle w:val="BodyText"/>
        <w:spacing w:before="4"/>
        <w:rPr>
          <w:sz w:val="24"/>
        </w:rPr>
      </w:pPr>
    </w:p>
    <w:p>
      <w:pPr>
        <w:pStyle w:val="BodyText"/>
        <w:ind w:left="119" w:right="103"/>
      </w:pPr>
      <w:r>
        <w:rPr>
          <w:color w:val="2E2E2E"/>
        </w:rPr>
        <w:t>The validations ensure that the attributes reported in agencies’ GTAS trial balance submissions are valid for the USSGL account. The validations encompass both USSGL level attributes per the USSGL Attribute Table and Treasury Account Symbol (TAS) level attributes found in the Super Master Account (SMAF). Simple validations are those involving one attribute while special validations involve more than one attribute. All validations</w:t>
      </w:r>
    </w:p>
    <w:p>
      <w:pPr>
        <w:pStyle w:val="BodyText"/>
        <w:ind w:left="119"/>
      </w:pPr>
      <w:r>
        <w:rPr>
          <w:color w:val="2E2E2E"/>
        </w:rPr>
        <w:t>are fatal.</w:t>
      </w:r>
    </w:p>
    <w:p>
      <w:pPr>
        <w:pStyle w:val="BodyText"/>
        <w:spacing w:before="2"/>
        <w:rPr>
          <w:sz w:val="24"/>
        </w:rPr>
      </w:pPr>
    </w:p>
    <w:p>
      <w:pPr>
        <w:pStyle w:val="BodyText"/>
        <w:spacing w:before="1"/>
        <w:ind w:left="119" w:right="103"/>
      </w:pPr>
      <w:r>
        <w:rPr>
          <w:color w:val="2E2E2E"/>
        </w:rPr>
        <w:t>The</w:t>
      </w:r>
      <w:r>
        <w:rPr>
          <w:color w:val="2E2E2E"/>
          <w:spacing w:val="-7"/>
        </w:rPr>
        <w:t> </w:t>
      </w:r>
      <w:r>
        <w:rPr>
          <w:color w:val="2E2E2E"/>
        </w:rPr>
        <w:t>edits</w:t>
      </w:r>
      <w:r>
        <w:rPr>
          <w:color w:val="2E2E2E"/>
          <w:spacing w:val="-6"/>
        </w:rPr>
        <w:t> </w:t>
      </w:r>
      <w:r>
        <w:rPr>
          <w:color w:val="2E2E2E"/>
        </w:rPr>
        <w:t>compare</w:t>
      </w:r>
      <w:r>
        <w:rPr>
          <w:color w:val="2E2E2E"/>
          <w:spacing w:val="-7"/>
        </w:rPr>
        <w:t> </w:t>
      </w:r>
      <w:r>
        <w:rPr>
          <w:color w:val="2E2E2E"/>
        </w:rPr>
        <w:t>the</w:t>
      </w:r>
      <w:r>
        <w:rPr>
          <w:color w:val="2E2E2E"/>
          <w:spacing w:val="-7"/>
        </w:rPr>
        <w:t> </w:t>
      </w:r>
      <w:r>
        <w:rPr>
          <w:color w:val="2E2E2E"/>
        </w:rPr>
        <w:t>agency</w:t>
      </w:r>
      <w:r>
        <w:rPr>
          <w:color w:val="2E2E2E"/>
          <w:spacing w:val="-8"/>
        </w:rPr>
        <w:t> </w:t>
      </w:r>
      <w:r>
        <w:rPr>
          <w:color w:val="2E2E2E"/>
        </w:rPr>
        <w:t>trial</w:t>
      </w:r>
      <w:r>
        <w:rPr>
          <w:color w:val="2E2E2E"/>
          <w:spacing w:val="-6"/>
        </w:rPr>
        <w:t> </w:t>
      </w:r>
      <w:r>
        <w:rPr>
          <w:color w:val="2E2E2E"/>
        </w:rPr>
        <w:t>balances</w:t>
      </w:r>
      <w:r>
        <w:rPr>
          <w:color w:val="2E2E2E"/>
          <w:spacing w:val="-6"/>
        </w:rPr>
        <w:t> </w:t>
      </w:r>
      <w:r>
        <w:rPr>
          <w:color w:val="2E2E2E"/>
        </w:rPr>
        <w:t>with</w:t>
      </w:r>
      <w:r>
        <w:rPr>
          <w:color w:val="2E2E2E"/>
          <w:spacing w:val="-7"/>
        </w:rPr>
        <w:t> </w:t>
      </w:r>
      <w:r>
        <w:rPr>
          <w:color w:val="2E2E2E"/>
        </w:rPr>
        <w:t>USSGL</w:t>
      </w:r>
      <w:r>
        <w:rPr>
          <w:color w:val="2E2E2E"/>
          <w:spacing w:val="-7"/>
        </w:rPr>
        <w:t> </w:t>
      </w:r>
      <w:r>
        <w:rPr>
          <w:color w:val="2E2E2E"/>
        </w:rPr>
        <w:t>rules</w:t>
      </w:r>
      <w:r>
        <w:rPr>
          <w:color w:val="2E2E2E"/>
          <w:spacing w:val="-6"/>
        </w:rPr>
        <w:t> </w:t>
      </w:r>
      <w:r>
        <w:rPr>
          <w:color w:val="2E2E2E"/>
        </w:rPr>
        <w:t>and</w:t>
      </w:r>
      <w:r>
        <w:rPr>
          <w:color w:val="2E2E2E"/>
          <w:spacing w:val="-7"/>
        </w:rPr>
        <w:t> </w:t>
      </w:r>
      <w:r>
        <w:rPr>
          <w:color w:val="2E2E2E"/>
        </w:rPr>
        <w:t>with</w:t>
      </w:r>
      <w:r>
        <w:rPr>
          <w:color w:val="2E2E2E"/>
          <w:spacing w:val="-7"/>
        </w:rPr>
        <w:t> </w:t>
      </w:r>
      <w:r>
        <w:rPr>
          <w:color w:val="2E2E2E"/>
        </w:rPr>
        <w:t>data</w:t>
      </w:r>
      <w:r>
        <w:rPr>
          <w:color w:val="2E2E2E"/>
          <w:spacing w:val="-9"/>
        </w:rPr>
        <w:t> </w:t>
      </w:r>
      <w:r>
        <w:rPr>
          <w:color w:val="2E2E2E"/>
        </w:rPr>
        <w:t>from</w:t>
      </w:r>
      <w:r>
        <w:rPr>
          <w:color w:val="2E2E2E"/>
          <w:spacing w:val="-9"/>
        </w:rPr>
        <w:t> </w:t>
      </w:r>
      <w:r>
        <w:rPr>
          <w:color w:val="2E2E2E"/>
        </w:rPr>
        <w:t>authoritative</w:t>
      </w:r>
      <w:r>
        <w:rPr>
          <w:color w:val="2E2E2E"/>
          <w:spacing w:val="-7"/>
        </w:rPr>
        <w:t> </w:t>
      </w:r>
      <w:r>
        <w:rPr>
          <w:color w:val="2E2E2E"/>
        </w:rPr>
        <w:t>sources</w:t>
      </w:r>
      <w:r>
        <w:rPr>
          <w:color w:val="2E2E2E"/>
          <w:spacing w:val="-6"/>
        </w:rPr>
        <w:t> </w:t>
      </w:r>
      <w:r>
        <w:rPr>
          <w:color w:val="2E2E2E"/>
        </w:rPr>
        <w:t>such</w:t>
      </w:r>
      <w:r>
        <w:rPr>
          <w:color w:val="2E2E2E"/>
          <w:spacing w:val="-7"/>
        </w:rPr>
        <w:t> </w:t>
      </w:r>
      <w:r>
        <w:rPr>
          <w:color w:val="2E2E2E"/>
        </w:rPr>
        <w:t>as the Central Accounting and Reporting System (CARS), Fiscal Service and the Federal Financing Bank. The edits may be either fatal or proposed.</w:t>
      </w:r>
      <w:r>
        <w:rPr>
          <w:color w:val="2E2E2E"/>
          <w:spacing w:val="10"/>
        </w:rPr>
        <w:t> </w:t>
      </w:r>
      <w:r>
        <w:rPr>
          <w:color w:val="2E2E2E"/>
        </w:rPr>
        <w:t>Fiscal Service will use the proposed edits only for analytical</w:t>
      </w:r>
    </w:p>
    <w:p>
      <w:pPr>
        <w:pStyle w:val="BodyText"/>
        <w:spacing w:line="242" w:lineRule="auto"/>
        <w:ind w:left="120" w:right="346" w:hanging="1"/>
      </w:pPr>
      <w:r>
        <w:rPr>
          <w:color w:val="2E2E2E"/>
        </w:rPr>
        <w:t>purposes. Fiscal Service disclaims any role or responsibility with the agency auditor relationship concerning the GTAS fatal and proposed analytical edits.</w:t>
      </w:r>
    </w:p>
    <w:p>
      <w:pPr>
        <w:pStyle w:val="BodyText"/>
        <w:rPr>
          <w:sz w:val="24"/>
        </w:rPr>
      </w:pPr>
    </w:p>
    <w:p>
      <w:pPr>
        <w:pStyle w:val="BodyText"/>
        <w:ind w:left="120"/>
      </w:pPr>
      <w:r>
        <w:rPr>
          <w:color w:val="2E2E2E"/>
        </w:rPr>
        <w:t>The following are the validation and edit reports included in this section:</w:t>
      </w:r>
    </w:p>
    <w:p>
      <w:pPr>
        <w:pStyle w:val="BodyText"/>
        <w:spacing w:before="2"/>
        <w:rPr>
          <w:sz w:val="24"/>
        </w:rPr>
      </w:pPr>
    </w:p>
    <w:p>
      <w:pPr>
        <w:pStyle w:val="Heading2"/>
        <w:tabs>
          <w:tab w:pos="6599" w:val="left" w:leader="none"/>
        </w:tabs>
      </w:pPr>
      <w:bookmarkStart w:name="Section VII: Page Number" w:id="4"/>
      <w:bookmarkEnd w:id="4"/>
      <w:r>
        <w:rPr>
          <w:b w:val="0"/>
        </w:rPr>
      </w:r>
      <w:r>
        <w:rPr>
          <w:color w:val="2E2E2E"/>
          <w:u w:val="single" w:color="2E2E2E"/>
        </w:rPr>
        <w:t>Section</w:t>
      </w:r>
      <w:r>
        <w:rPr>
          <w:color w:val="2E2E2E"/>
          <w:spacing w:val="-17"/>
          <w:u w:val="single" w:color="2E2E2E"/>
        </w:rPr>
        <w:t> </w:t>
      </w:r>
      <w:r>
        <w:rPr>
          <w:color w:val="2E2E2E"/>
          <w:u w:val="single" w:color="2E2E2E"/>
        </w:rPr>
        <w:t>VII:</w:t>
      </w:r>
      <w:r>
        <w:rPr>
          <w:color w:val="2E2E2E"/>
        </w:rPr>
        <w:tab/>
      </w:r>
      <w:r>
        <w:rPr>
          <w:color w:val="2E2E2E"/>
          <w:u w:val="thick" w:color="2E2E2E"/>
        </w:rPr>
        <w:t>Page</w:t>
      </w:r>
      <w:r>
        <w:rPr>
          <w:color w:val="2E2E2E"/>
          <w:spacing w:val="-26"/>
          <w:u w:val="thick" w:color="2E2E2E"/>
        </w:rPr>
        <w:t> </w:t>
      </w:r>
      <w:r>
        <w:rPr>
          <w:color w:val="2E2E2E"/>
          <w:u w:val="thick" w:color="2E2E2E"/>
        </w:rPr>
        <w:t>Number</w:t>
      </w:r>
    </w:p>
    <w:p>
      <w:pPr>
        <w:pStyle w:val="BodyText"/>
        <w:spacing w:before="5"/>
        <w:rPr>
          <w:b/>
          <w:sz w:val="16"/>
        </w:rPr>
      </w:pPr>
    </w:p>
    <w:p>
      <w:pPr>
        <w:pStyle w:val="BodyText"/>
        <w:spacing w:line="547" w:lineRule="auto" w:before="94"/>
        <w:ind w:left="120" w:right="1992"/>
        <w:jc w:val="both"/>
      </w:pPr>
      <w:r>
        <w:rPr>
          <w:color w:val="2E2E2E"/>
        </w:rPr>
        <w:t>GTAS Validation Summary Report (VSR)………………………………………...VII VSR – 1 GTAS Validation Detail Report (VDR)……………………………………..………VII VDR – 1 GTAS Edits Summary Report (ESR).................................................................VII ESR – 1</w:t>
      </w:r>
    </w:p>
    <w:p>
      <w:pPr>
        <w:pStyle w:val="BodyText"/>
        <w:spacing w:line="547" w:lineRule="auto" w:before="11"/>
        <w:ind w:left="120" w:right="1958"/>
        <w:jc w:val="both"/>
      </w:pPr>
      <w:r>
        <w:rPr>
          <w:color w:val="2E2E2E"/>
        </w:rPr>
        <w:t>GTAS Edits Detail Report (EDR)…………………………………………..……….VII EDR – 1 GTAS Closing Edits Report (CER)…………………………………………….…...VII CER – 1</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Heading1"/>
        <w:tabs>
          <w:tab w:pos="4543" w:val="left" w:leader="none"/>
          <w:tab w:pos="8572" w:val="left" w:leader="none"/>
        </w:tabs>
        <w:spacing w:before="156"/>
        <w:jc w:val="both"/>
      </w:pPr>
      <w:bookmarkStart w:name="Bulletin No. 2016-05 VII ‐ 1 June 2016" w:id="5"/>
      <w:bookmarkEnd w:id="5"/>
      <w:r>
        <w:rPr>
          <w:b w:val="0"/>
        </w:rPr>
      </w:r>
      <w:r>
        <w:rPr/>
        <w:t>Bulletin</w:t>
      </w:r>
      <w:r>
        <w:rPr>
          <w:spacing w:val="-4"/>
        </w:rPr>
        <w:t> </w:t>
      </w:r>
      <w:r>
        <w:rPr/>
        <w:t>No.</w:t>
      </w:r>
      <w:r>
        <w:rPr>
          <w:spacing w:val="-2"/>
        </w:rPr>
        <w:t> </w:t>
      </w:r>
      <w:r>
        <w:rPr/>
        <w:t>2016-05</w:t>
        <w:tab/>
        <w:t>VII</w:t>
      </w:r>
      <w:r>
        <w:rPr>
          <w:spacing w:val="-5"/>
        </w:rPr>
        <w:t> </w:t>
      </w:r>
      <w:r>
        <w:rPr/>
        <w:t>-</w:t>
      </w:r>
      <w:r>
        <w:rPr>
          <w:spacing w:val="-6"/>
        </w:rPr>
        <w:t> </w:t>
      </w:r>
      <w:r>
        <w:rPr/>
        <w:t>1</w:t>
        <w:tab/>
        <w:t>June</w:t>
      </w:r>
      <w:r>
        <w:rPr>
          <w:spacing w:val="-17"/>
        </w:rPr>
        <w:t> </w:t>
      </w:r>
      <w:r>
        <w:rPr/>
        <w:t>2016</w:t>
      </w:r>
    </w:p>
    <w:sectPr>
      <w:type w:val="continuous"/>
      <w:pgSz w:w="12240" w:h="15840"/>
      <w:pgMar w:top="680" w:bottom="28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9"/>
      <w:szCs w:val="19"/>
    </w:rPr>
  </w:style>
  <w:style w:styleId="Heading1" w:type="paragraph">
    <w:name w:val="Heading 1"/>
    <w:basedOn w:val="Normal"/>
    <w:uiPriority w:val="1"/>
    <w:qFormat/>
    <w:pPr>
      <w:ind w:left="120"/>
      <w:outlineLvl w:val="1"/>
    </w:pPr>
    <w:rPr>
      <w:rFonts w:ascii="Calibri" w:hAnsi="Calibri" w:eastAsia="Calibri" w:cs="Calibri"/>
      <w:b/>
      <w:bCs/>
      <w:sz w:val="22"/>
      <w:szCs w:val="22"/>
    </w:rPr>
  </w:style>
  <w:style w:styleId="Heading2" w:type="paragraph">
    <w:name w:val="Heading 2"/>
    <w:basedOn w:val="Normal"/>
    <w:uiPriority w:val="1"/>
    <w:qFormat/>
    <w:pPr>
      <w:ind w:left="120"/>
      <w:outlineLvl w:val="2"/>
    </w:pPr>
    <w:rPr>
      <w:rFonts w:ascii="Arial" w:hAnsi="Arial" w:eastAsia="Arial" w:cs="Arial"/>
      <w:b/>
      <w:bCs/>
      <w:sz w:val="19"/>
      <w:szCs w:val="19"/>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L. Wages</dc:creator>
  <dcterms:created xsi:type="dcterms:W3CDTF">2017-06-13T09:43:15Z</dcterms:created>
  <dcterms:modified xsi:type="dcterms:W3CDTF">2017-06-13T09:43:15Z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2016-06-13T00:00:00Z</vt:filetime>
  </property>
  <property fmtid="{D5CDD505-2E9C-101B-9397-08002B2CF9AE}" pid="3" name="Creator">
    <vt:lpwstr>Acrobat PDFMaker 11 for Word</vt:lpwstr>
  </property>
  <property fmtid="{D5CDD505-2E9C-101B-9397-08002B2CF9AE}" pid="4" name="LastSaved">
    <vt:filetime>2017-06-13T00:00:00Z</vt:filetime>
  </property>
</Properties>
</file>