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5" w:after="1"/>
        <w:rPr>
          <w:sz w:val="2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w w:val="95"/>
                <w:sz w:val="20"/>
              </w:rPr>
              <w:t>Attribute </w:t>
            </w:r>
            <w:r>
              <w:rPr>
                <w:b/>
                <w:sz w:val="20"/>
              </w:rPr>
              <w:t>Name</w:t>
            </w:r>
          </w:p>
        </w:tc>
        <w:tc>
          <w:tcPr>
            <w:tcW w:w="1219" w:type="dxa"/>
          </w:tcPr>
          <w:p>
            <w:pPr>
              <w:pStyle w:val="TableParagraph"/>
              <w:spacing w:before="15"/>
              <w:ind w:left="352" w:right="185" w:hanging="152"/>
              <w:rPr>
                <w:b/>
                <w:sz w:val="20"/>
              </w:rPr>
            </w:pPr>
            <w:r>
              <w:rPr>
                <w:b/>
                <w:sz w:val="20"/>
              </w:rPr>
              <w:t>Attribute Short Name</w:t>
            </w:r>
          </w:p>
        </w:tc>
        <w:tc>
          <w:tcPr>
            <w:tcW w:w="4543" w:type="dxa"/>
          </w:tcPr>
          <w:p>
            <w:pPr>
              <w:pStyle w:val="TableParagraph"/>
              <w:spacing w:before="3"/>
              <w:ind w:left="0"/>
              <w:rPr>
                <w:sz w:val="21"/>
              </w:rPr>
            </w:pPr>
          </w:p>
          <w:p>
            <w:pPr>
              <w:pStyle w:val="TableParagraph"/>
              <w:spacing w:before="1"/>
              <w:ind w:left="1833" w:right="1838" w:firstLine="2"/>
              <w:jc w:val="center"/>
              <w:rPr>
                <w:b/>
                <w:sz w:val="20"/>
              </w:rPr>
            </w:pPr>
            <w:r>
              <w:rPr>
                <w:b/>
                <w:sz w:val="20"/>
              </w:rPr>
              <w:t>Attribute Definition</w:t>
            </w:r>
          </w:p>
        </w:tc>
        <w:tc>
          <w:tcPr>
            <w:tcW w:w="1507" w:type="dxa"/>
          </w:tcPr>
          <w:p>
            <w:pPr>
              <w:pStyle w:val="TableParagraph"/>
              <w:spacing w:before="0"/>
              <w:ind w:left="0"/>
              <w:rPr>
                <w:sz w:val="22"/>
              </w:rPr>
            </w:pPr>
          </w:p>
          <w:p>
            <w:pPr>
              <w:pStyle w:val="TableParagraph"/>
              <w:spacing w:before="1"/>
              <w:ind w:left="0"/>
              <w:rPr>
                <w:sz w:val="19"/>
              </w:rPr>
            </w:pPr>
          </w:p>
          <w:p>
            <w:pPr>
              <w:pStyle w:val="TableParagraph"/>
              <w:spacing w:before="1"/>
              <w:ind w:left="407"/>
              <w:rPr>
                <w:b/>
                <w:sz w:val="20"/>
              </w:rPr>
            </w:pPr>
            <w:r>
              <w:rPr>
                <w:b/>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sz w:val="20"/>
              </w:rPr>
              <w:t>System Characters</w:t>
            </w:r>
          </w:p>
        </w:tc>
        <w:tc>
          <w:tcPr>
            <w:tcW w:w="917" w:type="dxa"/>
          </w:tcPr>
          <w:p>
            <w:pPr>
              <w:pStyle w:val="TableParagraph"/>
              <w:spacing w:before="0"/>
              <w:ind w:left="0"/>
              <w:rPr>
                <w:sz w:val="22"/>
              </w:rPr>
            </w:pPr>
          </w:p>
          <w:p>
            <w:pPr>
              <w:pStyle w:val="TableParagraph"/>
              <w:spacing w:before="1"/>
              <w:ind w:left="0"/>
              <w:rPr>
                <w:sz w:val="19"/>
              </w:rPr>
            </w:pPr>
          </w:p>
          <w:p>
            <w:pPr>
              <w:pStyle w:val="TableParagraph"/>
              <w:spacing w:before="1"/>
              <w:ind w:left="24"/>
              <w:rPr>
                <w:b/>
                <w:sz w:val="20"/>
              </w:rPr>
            </w:pPr>
            <w:r>
              <w:rPr>
                <w:b/>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w w:val="95"/>
                <w:sz w:val="20"/>
              </w:rPr>
              <w:t>Supplied </w:t>
            </w:r>
            <w:r>
              <w:rPr>
                <w:b/>
                <w:sz w:val="20"/>
              </w:rPr>
              <w:t>By</w:t>
            </w:r>
          </w:p>
        </w:tc>
      </w:tr>
      <w:tr>
        <w:trPr>
          <w:trHeight w:val="499" w:hRule="exact"/>
        </w:trPr>
        <w:tc>
          <w:tcPr>
            <w:tcW w:w="2112" w:type="dxa"/>
            <w:tcBorders>
              <w:left w:val="single" w:sz="2" w:space="0" w:color="000000"/>
              <w:bottom w:val="single" w:sz="2" w:space="0" w:color="000000"/>
            </w:tcBorders>
          </w:tcPr>
          <w:p>
            <w:pPr>
              <w:pStyle w:val="TableParagraph"/>
              <w:spacing w:before="7"/>
              <w:rPr>
                <w:sz w:val="20"/>
              </w:rPr>
            </w:pPr>
            <w:r>
              <w:rPr>
                <w:sz w:val="20"/>
              </w:rPr>
              <w:t>Anticipated Indicator</w:t>
            </w:r>
          </w:p>
        </w:tc>
        <w:tc>
          <w:tcPr>
            <w:tcW w:w="1219" w:type="dxa"/>
          </w:tcPr>
          <w:p>
            <w:pPr>
              <w:pStyle w:val="TableParagraph"/>
              <w:spacing w:before="7"/>
              <w:ind w:left="7"/>
              <w:rPr>
                <w:sz w:val="20"/>
              </w:rPr>
            </w:pPr>
            <w:r>
              <w:rPr>
                <w:sz w:val="20"/>
              </w:rPr>
              <w:t>Anticipated</w:t>
            </w:r>
          </w:p>
        </w:tc>
        <w:tc>
          <w:tcPr>
            <w:tcW w:w="4543" w:type="dxa"/>
            <w:tcBorders>
              <w:bottom w:val="single" w:sz="2" w:space="0" w:color="000000"/>
              <w:right w:val="single" w:sz="2" w:space="0" w:color="000000"/>
            </w:tcBorders>
          </w:tcPr>
          <w:p>
            <w:pPr>
              <w:pStyle w:val="TableParagraph"/>
              <w:spacing w:before="7"/>
              <w:ind w:left="7" w:right="125"/>
              <w:rPr>
                <w:sz w:val="20"/>
              </w:rPr>
            </w:pPr>
            <w:r>
              <w:rPr>
                <w:sz w:val="20"/>
              </w:rPr>
              <w:t>Indicates that the transaction is expected or anticipated to occur in the current fiscal year.</w:t>
            </w:r>
          </w:p>
        </w:tc>
        <w:tc>
          <w:tcPr>
            <w:tcW w:w="1507" w:type="dxa"/>
            <w:tcBorders>
              <w:left w:val="single" w:sz="2" w:space="0" w:color="000000"/>
              <w:bottom w:val="single" w:sz="2" w:space="0" w:color="000000"/>
              <w:right w:val="single" w:sz="2" w:space="0" w:color="000000"/>
            </w:tcBorders>
          </w:tcPr>
          <w:p>
            <w:pPr>
              <w:pStyle w:val="TableParagraph"/>
              <w:spacing w:before="7"/>
              <w:rPr>
                <w:sz w:val="20"/>
              </w:rPr>
            </w:pPr>
            <w:r>
              <w:rPr>
                <w:sz w:val="20"/>
              </w:rPr>
              <w:t>N - No</w:t>
            </w:r>
          </w:p>
          <w:p>
            <w:pPr>
              <w:pStyle w:val="TableParagraph"/>
              <w:spacing w:before="0"/>
              <w:rPr>
                <w:sz w:val="20"/>
              </w:rPr>
            </w:pPr>
            <w:r>
              <w:rPr>
                <w:sz w:val="20"/>
              </w:rPr>
              <w:t>Y - Yes</w:t>
            </w:r>
          </w:p>
        </w:tc>
        <w:tc>
          <w:tcPr>
            <w:tcW w:w="1044" w:type="dxa"/>
            <w:tcBorders>
              <w:left w:val="single" w:sz="2" w:space="0" w:color="000000"/>
              <w:bottom w:val="single" w:sz="2" w:space="0" w:color="000000"/>
              <w:right w:val="single" w:sz="2" w:space="0" w:color="000000"/>
            </w:tcBorders>
          </w:tcPr>
          <w:p>
            <w:pPr>
              <w:pStyle w:val="TableParagraph"/>
              <w:spacing w:before="7"/>
              <w:ind w:left="14"/>
              <w:rPr>
                <w:sz w:val="20"/>
              </w:rPr>
            </w:pPr>
            <w:r>
              <w:rPr>
                <w:sz w:val="20"/>
              </w:rPr>
              <w:t>1/A</w:t>
            </w:r>
          </w:p>
        </w:tc>
        <w:tc>
          <w:tcPr>
            <w:tcW w:w="917" w:type="dxa"/>
            <w:tcBorders>
              <w:left w:val="single" w:sz="2" w:space="0" w:color="000000"/>
              <w:bottom w:val="single" w:sz="2" w:space="0" w:color="000000"/>
              <w:right w:val="single" w:sz="2" w:space="0" w:color="000000"/>
            </w:tcBorders>
          </w:tcPr>
          <w:p>
            <w:pPr>
              <w:pStyle w:val="TableParagraph"/>
              <w:spacing w:before="7"/>
              <w:ind w:left="14"/>
              <w:rPr>
                <w:sz w:val="20"/>
              </w:rPr>
            </w:pPr>
            <w:r>
              <w:rPr>
                <w:sz w:val="20"/>
              </w:rPr>
              <w:t>USSGL</w:t>
            </w:r>
          </w:p>
        </w:tc>
        <w:tc>
          <w:tcPr>
            <w:tcW w:w="958" w:type="dxa"/>
            <w:tcBorders>
              <w:left w:val="single" w:sz="2" w:space="0" w:color="000000"/>
              <w:bottom w:val="single" w:sz="2" w:space="0" w:color="000000"/>
              <w:right w:val="single" w:sz="2" w:space="0" w:color="000000"/>
            </w:tcBorders>
          </w:tcPr>
          <w:p>
            <w:pPr>
              <w:pStyle w:val="TableParagraph"/>
              <w:spacing w:before="7"/>
              <w:rPr>
                <w:sz w:val="20"/>
              </w:rPr>
            </w:pPr>
            <w:r>
              <w:rPr>
                <w:sz w:val="20"/>
              </w:rPr>
              <w:t>USSGL</w:t>
            </w:r>
          </w:p>
        </w:tc>
      </w:tr>
      <w:tr>
        <w:trPr>
          <w:trHeight w:val="1654" w:hRule="exact"/>
        </w:trPr>
        <w:tc>
          <w:tcPr>
            <w:tcW w:w="2112" w:type="dxa"/>
            <w:tcBorders>
              <w:top w:val="single" w:sz="2" w:space="0" w:color="000000"/>
              <w:left w:val="single" w:sz="2" w:space="0" w:color="000000"/>
              <w:bottom w:val="single" w:sz="2" w:space="0" w:color="000000"/>
            </w:tcBorders>
          </w:tcPr>
          <w:p>
            <w:pPr>
              <w:pStyle w:val="TableParagraph"/>
              <w:spacing w:before="17"/>
              <w:ind w:right="65"/>
              <w:rPr>
                <w:sz w:val="20"/>
              </w:rPr>
            </w:pPr>
            <w:r>
              <w:rPr>
                <w:sz w:val="20"/>
              </w:rPr>
              <w:t>Apportionment Category B Program Code</w:t>
            </w:r>
          </w:p>
        </w:tc>
        <w:tc>
          <w:tcPr>
            <w:tcW w:w="1219" w:type="dxa"/>
          </w:tcPr>
          <w:p>
            <w:pPr>
              <w:pStyle w:val="TableParagraph"/>
              <w:spacing w:before="12"/>
              <w:ind w:left="7"/>
              <w:rPr>
                <w:sz w:val="20"/>
              </w:rPr>
            </w:pPr>
            <w:r>
              <w:rPr>
                <w:sz w:val="20"/>
              </w:rPr>
              <w:t>Apport Cat B</w:t>
            </w:r>
          </w:p>
        </w:tc>
        <w:tc>
          <w:tcPr>
            <w:tcW w:w="4543" w:type="dxa"/>
            <w:tcBorders>
              <w:top w:val="single" w:sz="2" w:space="0" w:color="000000"/>
              <w:bottom w:val="single" w:sz="2" w:space="0" w:color="000000"/>
              <w:right w:val="single" w:sz="2" w:space="0" w:color="000000"/>
            </w:tcBorders>
          </w:tcPr>
          <w:p>
            <w:pPr>
              <w:pStyle w:val="TableParagraph"/>
              <w:spacing w:before="17"/>
              <w:ind w:left="7" w:right="63"/>
              <w:rPr>
                <w:sz w:val="20"/>
              </w:rPr>
            </w:pPr>
            <w:r>
              <w:rPr>
                <w:sz w:val="20"/>
              </w:rPr>
              <w:t>The code representing the category A/B and B program used on the SF 132 apportionment schedule.</w:t>
            </w:r>
          </w:p>
          <w:p>
            <w:pPr>
              <w:pStyle w:val="TableParagraph"/>
              <w:spacing w:before="0"/>
              <w:ind w:left="7" w:right="38"/>
              <w:rPr>
                <w:sz w:val="20"/>
              </w:rPr>
            </w:pPr>
            <w:r>
              <w:rPr>
                <w:sz w:val="20"/>
              </w:rPr>
              <w:t>Apportionment Category B Program Code is a four digit number that represents a line on the</w:t>
            </w:r>
            <w:r>
              <w:rPr>
                <w:spacing w:val="-24"/>
                <w:sz w:val="20"/>
              </w:rPr>
              <w:t> </w:t>
            </w:r>
            <w:r>
              <w:rPr>
                <w:sz w:val="20"/>
              </w:rPr>
              <w:t>apportionment schedule. The category B program code is required if the apportionment category is A/B or B. Category B programs are subject to the Anti-Deficiency</w:t>
            </w:r>
            <w:r>
              <w:rPr>
                <w:spacing w:val="-27"/>
                <w:sz w:val="20"/>
              </w:rPr>
              <w:t> </w:t>
            </w:r>
            <w:r>
              <w:rPr>
                <w:sz w:val="20"/>
              </w:rPr>
              <w:t>Act.</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 -</w:t>
            </w:r>
          </w:p>
          <w:p>
            <w:pPr>
              <w:pStyle w:val="TableParagraph"/>
              <w:spacing w:before="0"/>
              <w:rPr>
                <w:sz w:val="20"/>
              </w:rPr>
            </w:pPr>
            <w:r>
              <w:rPr>
                <w:w w:val="95"/>
                <w:sz w:val="20"/>
              </w:rPr>
              <w:t>Apportionment </w:t>
            </w:r>
            <w:r>
              <w:rPr>
                <w:sz w:val="20"/>
              </w:rPr>
              <w:t>Category B Program Code</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4/N</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r>
        <w:trPr>
          <w:trHeight w:val="2117" w:hRule="exact"/>
        </w:trPr>
        <w:tc>
          <w:tcPr>
            <w:tcW w:w="2112" w:type="dxa"/>
            <w:tcBorders>
              <w:top w:val="single" w:sz="2" w:space="0" w:color="000000"/>
              <w:left w:val="single" w:sz="2" w:space="0" w:color="000000"/>
              <w:bottom w:val="single" w:sz="2" w:space="0" w:color="000000"/>
            </w:tcBorders>
          </w:tcPr>
          <w:p>
            <w:pPr>
              <w:pStyle w:val="TableParagraph"/>
              <w:ind w:right="65"/>
              <w:rPr>
                <w:sz w:val="20"/>
              </w:rPr>
            </w:pPr>
            <w:r>
              <w:rPr>
                <w:sz w:val="20"/>
              </w:rPr>
              <w:t>Apportionment Category Code</w:t>
            </w:r>
          </w:p>
        </w:tc>
        <w:tc>
          <w:tcPr>
            <w:tcW w:w="1219" w:type="dxa"/>
          </w:tcPr>
          <w:p>
            <w:pPr>
              <w:pStyle w:val="TableParagraph"/>
              <w:spacing w:before="15"/>
              <w:ind w:left="7"/>
              <w:rPr>
                <w:sz w:val="20"/>
              </w:rPr>
            </w:pPr>
            <w:r>
              <w:rPr>
                <w:sz w:val="20"/>
              </w:rPr>
              <w:t>Apport Cat</w:t>
            </w:r>
          </w:p>
        </w:tc>
        <w:tc>
          <w:tcPr>
            <w:tcW w:w="4543" w:type="dxa"/>
            <w:tcBorders>
              <w:top w:val="single" w:sz="2" w:space="0" w:color="000000"/>
              <w:bottom w:val="single" w:sz="2" w:space="0" w:color="000000"/>
              <w:right w:val="single" w:sz="2" w:space="0" w:color="000000"/>
            </w:tcBorders>
          </w:tcPr>
          <w:p>
            <w:pPr>
              <w:pStyle w:val="TableParagraph"/>
              <w:ind w:left="7"/>
              <w:rPr>
                <w:sz w:val="20"/>
              </w:rPr>
            </w:pPr>
            <w:r>
              <w:rPr>
                <w:sz w:val="20"/>
              </w:rPr>
              <w:t>Identifies OMB apportionments by quarters (Category</w:t>
            </w:r>
          </w:p>
          <w:p>
            <w:pPr>
              <w:pStyle w:val="TableParagraph"/>
              <w:spacing w:before="0"/>
              <w:ind w:left="7" w:right="125"/>
              <w:rPr>
                <w:sz w:val="20"/>
              </w:rPr>
            </w:pPr>
            <w:r>
              <w:rPr>
                <w:sz w:val="20"/>
              </w:rPr>
              <w:t>A) or by other specified time periods, programs, activities, projects, objects, or combinations of these (Category B), or are not subject to apportionment (Category E).</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115"/>
              <w:rPr>
                <w:sz w:val="20"/>
              </w:rPr>
            </w:pPr>
            <w:r>
              <w:rPr>
                <w:sz w:val="20"/>
              </w:rPr>
              <w:t>A - Category A - Quarterly Apportionments B - Category B - Apportionments other than quarterly</w:t>
            </w:r>
          </w:p>
          <w:p>
            <w:pPr>
              <w:pStyle w:val="TableParagraph"/>
              <w:spacing w:before="0"/>
              <w:ind w:right="120"/>
              <w:rPr>
                <w:sz w:val="20"/>
              </w:rPr>
            </w:pPr>
            <w:r>
              <w:rPr>
                <w:sz w:val="20"/>
              </w:rPr>
              <w:t>E - Exempt from Apportionment</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r>
        <w:trPr>
          <w:trHeight w:val="3725" w:hRule="exact"/>
        </w:trPr>
        <w:tc>
          <w:tcPr>
            <w:tcW w:w="2112" w:type="dxa"/>
            <w:tcBorders>
              <w:top w:val="single" w:sz="2" w:space="0" w:color="000000"/>
              <w:left w:val="single" w:sz="2" w:space="0" w:color="000000"/>
              <w:bottom w:val="single" w:sz="2" w:space="0" w:color="000000"/>
            </w:tcBorders>
          </w:tcPr>
          <w:p>
            <w:pPr>
              <w:pStyle w:val="TableParagraph"/>
              <w:spacing w:before="17"/>
              <w:rPr>
                <w:sz w:val="20"/>
              </w:rPr>
            </w:pPr>
            <w:r>
              <w:rPr>
                <w:sz w:val="20"/>
              </w:rPr>
              <w:t>Authority Type Code</w:t>
            </w:r>
          </w:p>
        </w:tc>
        <w:tc>
          <w:tcPr>
            <w:tcW w:w="1219" w:type="dxa"/>
          </w:tcPr>
          <w:p>
            <w:pPr>
              <w:pStyle w:val="TableParagraph"/>
              <w:spacing w:before="12"/>
              <w:ind w:left="7" w:right="316"/>
              <w:rPr>
                <w:sz w:val="20"/>
              </w:rPr>
            </w:pPr>
            <w:r>
              <w:rPr>
                <w:sz w:val="20"/>
              </w:rPr>
              <w:t>Auth Type Code</w:t>
            </w:r>
          </w:p>
        </w:tc>
        <w:tc>
          <w:tcPr>
            <w:tcW w:w="4543" w:type="dxa"/>
            <w:tcBorders>
              <w:top w:val="single" w:sz="2" w:space="0" w:color="000000"/>
              <w:bottom w:val="single" w:sz="2" w:space="0" w:color="000000"/>
              <w:right w:val="single" w:sz="2" w:space="0" w:color="000000"/>
            </w:tcBorders>
          </w:tcPr>
          <w:p>
            <w:pPr>
              <w:pStyle w:val="TableParagraph"/>
              <w:spacing w:before="17"/>
              <w:ind w:left="7" w:right="23"/>
              <w:rPr>
                <w:sz w:val="20"/>
              </w:rPr>
            </w:pPr>
            <w:r>
              <w:rPr>
                <w:sz w:val="20"/>
              </w:rPr>
              <w:t>Distinguishes among the types of budgetary resources, where it is not possible to do so by the USSGL Account Number Code. For example, the USSGL rescission accounts (USSGL accounts 439200 and 439300) do not distinguish between rescissions of appropriations or contract authority.</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303"/>
              <w:rPr>
                <w:sz w:val="20"/>
              </w:rPr>
            </w:pPr>
            <w:r>
              <w:rPr>
                <w:sz w:val="20"/>
              </w:rPr>
              <w:t>B - Borrowing Authority</w:t>
            </w:r>
          </w:p>
          <w:p>
            <w:pPr>
              <w:pStyle w:val="TableParagraph"/>
              <w:spacing w:before="0"/>
              <w:ind w:right="481"/>
              <w:rPr>
                <w:sz w:val="20"/>
              </w:rPr>
            </w:pPr>
            <w:r>
              <w:rPr>
                <w:sz w:val="20"/>
              </w:rPr>
              <w:t>C - Contract Authority</w:t>
            </w:r>
          </w:p>
          <w:p>
            <w:pPr>
              <w:pStyle w:val="TableParagraph"/>
              <w:spacing w:before="0"/>
              <w:ind w:right="337"/>
              <w:rPr>
                <w:sz w:val="20"/>
              </w:rPr>
            </w:pPr>
            <w:r>
              <w:rPr>
                <w:sz w:val="20"/>
              </w:rPr>
              <w:t>D - Advance Appropriation</w:t>
            </w:r>
          </w:p>
          <w:p>
            <w:pPr>
              <w:pStyle w:val="TableParagraph"/>
              <w:spacing w:before="2"/>
              <w:ind w:right="48"/>
              <w:rPr>
                <w:sz w:val="20"/>
              </w:rPr>
            </w:pPr>
            <w:r>
              <w:rPr>
                <w:sz w:val="20"/>
              </w:rPr>
              <w:t>E - Appropriation (Advance Funding) available in Prior Year</w:t>
            </w:r>
          </w:p>
          <w:p>
            <w:pPr>
              <w:pStyle w:val="TableParagraph"/>
              <w:spacing w:before="0"/>
              <w:ind w:right="59"/>
              <w:rPr>
                <w:sz w:val="20"/>
              </w:rPr>
            </w:pPr>
            <w:r>
              <w:rPr>
                <w:sz w:val="20"/>
              </w:rPr>
              <w:t>F - Appropriation (Advance Funding) available from Subsequent Year</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OMB</w:t>
            </w:r>
          </w:p>
          <w:p>
            <w:pPr>
              <w:pStyle w:val="TableParagraph"/>
              <w:spacing w:before="0"/>
              <w:ind w:left="14" w:right="157"/>
              <w:rPr>
                <w:sz w:val="20"/>
              </w:rPr>
            </w:pPr>
            <w:r>
              <w:rPr>
                <w:sz w:val="20"/>
              </w:rPr>
              <w:t>Circ. No. A-11, TFM 2-</w:t>
            </w:r>
          </w:p>
          <w:p>
            <w:pPr>
              <w:pStyle w:val="TableParagraph"/>
              <w:spacing w:line="228" w:lineRule="exact" w:before="0"/>
              <w:ind w:left="14"/>
              <w:rPr>
                <w:sz w:val="20"/>
              </w:rPr>
            </w:pPr>
            <w:r>
              <w:rPr>
                <w:sz w:val="20"/>
              </w:rPr>
              <w:t>4200</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bl>
    <w:p>
      <w:pPr>
        <w:spacing w:after="0"/>
        <w:rPr>
          <w:sz w:val="20"/>
        </w:rPr>
        <w:sectPr>
          <w:headerReference w:type="default" r:id="rId5"/>
          <w:footerReference w:type="default" r:id="rId6"/>
          <w:type w:val="continuous"/>
          <w:pgSz w:w="15840" w:h="12240" w:orient="landscape"/>
          <w:pgMar w:header="722" w:footer="748" w:top="1620" w:bottom="940" w:left="1300" w:right="1800"/>
          <w:pgNumType w:start="1"/>
        </w:sectPr>
      </w:pPr>
    </w:p>
    <w:p>
      <w:pPr>
        <w:spacing w:line="240" w:lineRule="auto" w:before="5" w:after="1"/>
        <w:rPr>
          <w:sz w:val="2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w w:val="95"/>
                <w:sz w:val="20"/>
              </w:rPr>
              <w:t>Attribute </w:t>
            </w:r>
            <w:r>
              <w:rPr>
                <w:b/>
                <w:sz w:val="20"/>
              </w:rPr>
              <w:t>Name</w:t>
            </w:r>
          </w:p>
        </w:tc>
        <w:tc>
          <w:tcPr>
            <w:tcW w:w="1219" w:type="dxa"/>
          </w:tcPr>
          <w:p>
            <w:pPr>
              <w:pStyle w:val="TableParagraph"/>
              <w:spacing w:before="15"/>
              <w:ind w:left="352" w:right="185" w:hanging="152"/>
              <w:rPr>
                <w:b/>
                <w:sz w:val="20"/>
              </w:rPr>
            </w:pPr>
            <w:r>
              <w:rPr>
                <w:b/>
                <w:sz w:val="20"/>
              </w:rPr>
              <w:t>Attribute Short Name</w:t>
            </w:r>
          </w:p>
        </w:tc>
        <w:tc>
          <w:tcPr>
            <w:tcW w:w="4543" w:type="dxa"/>
          </w:tcPr>
          <w:p>
            <w:pPr>
              <w:pStyle w:val="TableParagraph"/>
              <w:spacing w:before="3"/>
              <w:ind w:left="0"/>
              <w:rPr>
                <w:sz w:val="21"/>
              </w:rPr>
            </w:pPr>
          </w:p>
          <w:p>
            <w:pPr>
              <w:pStyle w:val="TableParagraph"/>
              <w:spacing w:before="1"/>
              <w:ind w:left="1833" w:right="1838" w:firstLine="2"/>
              <w:jc w:val="center"/>
              <w:rPr>
                <w:b/>
                <w:sz w:val="20"/>
              </w:rPr>
            </w:pPr>
            <w:r>
              <w:rPr>
                <w:b/>
                <w:sz w:val="20"/>
              </w:rPr>
              <w:t>Attribute Definition</w:t>
            </w:r>
          </w:p>
        </w:tc>
        <w:tc>
          <w:tcPr>
            <w:tcW w:w="1507" w:type="dxa"/>
          </w:tcPr>
          <w:p>
            <w:pPr>
              <w:pStyle w:val="TableParagraph"/>
              <w:spacing w:before="0"/>
              <w:ind w:left="0"/>
              <w:rPr>
                <w:sz w:val="22"/>
              </w:rPr>
            </w:pPr>
          </w:p>
          <w:p>
            <w:pPr>
              <w:pStyle w:val="TableParagraph"/>
              <w:spacing w:before="1"/>
              <w:ind w:left="0"/>
              <w:rPr>
                <w:sz w:val="19"/>
              </w:rPr>
            </w:pPr>
          </w:p>
          <w:p>
            <w:pPr>
              <w:pStyle w:val="TableParagraph"/>
              <w:spacing w:before="1"/>
              <w:ind w:left="407"/>
              <w:rPr>
                <w:b/>
                <w:sz w:val="20"/>
              </w:rPr>
            </w:pPr>
            <w:r>
              <w:rPr>
                <w:b/>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sz w:val="20"/>
              </w:rPr>
              <w:t>System Characters</w:t>
            </w:r>
          </w:p>
        </w:tc>
        <w:tc>
          <w:tcPr>
            <w:tcW w:w="917" w:type="dxa"/>
          </w:tcPr>
          <w:p>
            <w:pPr>
              <w:pStyle w:val="TableParagraph"/>
              <w:spacing w:before="0"/>
              <w:ind w:left="0"/>
              <w:rPr>
                <w:sz w:val="22"/>
              </w:rPr>
            </w:pPr>
          </w:p>
          <w:p>
            <w:pPr>
              <w:pStyle w:val="TableParagraph"/>
              <w:spacing w:before="1"/>
              <w:ind w:left="0"/>
              <w:rPr>
                <w:sz w:val="19"/>
              </w:rPr>
            </w:pPr>
          </w:p>
          <w:p>
            <w:pPr>
              <w:pStyle w:val="TableParagraph"/>
              <w:spacing w:before="1"/>
              <w:ind w:left="24"/>
              <w:rPr>
                <w:b/>
                <w:sz w:val="20"/>
              </w:rPr>
            </w:pPr>
            <w:r>
              <w:rPr>
                <w:b/>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w w:val="95"/>
                <w:sz w:val="20"/>
              </w:rPr>
              <w:t>Supplied </w:t>
            </w:r>
            <w:r>
              <w:rPr>
                <w:b/>
                <w:sz w:val="20"/>
              </w:rPr>
              <w:t>By</w:t>
            </w:r>
          </w:p>
        </w:tc>
      </w:tr>
      <w:tr>
        <w:trPr>
          <w:trHeight w:val="2340" w:hRule="exact"/>
        </w:trPr>
        <w:tc>
          <w:tcPr>
            <w:tcW w:w="2112" w:type="dxa"/>
            <w:tcBorders>
              <w:left w:val="single" w:sz="2" w:space="0" w:color="000000"/>
              <w:bottom w:val="single" w:sz="2" w:space="0" w:color="000000"/>
            </w:tcBorders>
          </w:tcPr>
          <w:p>
            <w:pPr/>
          </w:p>
        </w:tc>
        <w:tc>
          <w:tcPr>
            <w:tcW w:w="1219" w:type="dxa"/>
          </w:tcPr>
          <w:p>
            <w:pPr/>
          </w:p>
        </w:tc>
        <w:tc>
          <w:tcPr>
            <w:tcW w:w="4543" w:type="dxa"/>
            <w:tcBorders>
              <w:bottom w:val="single" w:sz="2" w:space="0" w:color="000000"/>
              <w:right w:val="single" w:sz="2" w:space="0" w:color="000000"/>
            </w:tcBorders>
          </w:tcPr>
          <w:p>
            <w:pPr/>
          </w:p>
        </w:tc>
        <w:tc>
          <w:tcPr>
            <w:tcW w:w="1507" w:type="dxa"/>
            <w:tcBorders>
              <w:left w:val="single" w:sz="2" w:space="0" w:color="000000"/>
              <w:bottom w:val="single" w:sz="2" w:space="0" w:color="000000"/>
              <w:right w:val="single" w:sz="2" w:space="0" w:color="000000"/>
            </w:tcBorders>
          </w:tcPr>
          <w:p>
            <w:pPr>
              <w:pStyle w:val="TableParagraph"/>
              <w:spacing w:before="7"/>
              <w:ind w:right="59"/>
              <w:rPr>
                <w:sz w:val="20"/>
              </w:rPr>
            </w:pPr>
            <w:r>
              <w:rPr>
                <w:sz w:val="20"/>
              </w:rPr>
              <w:t>P - Appropriation (excluding Advance Funding)</w:t>
            </w:r>
          </w:p>
          <w:p>
            <w:pPr>
              <w:pStyle w:val="TableParagraph"/>
              <w:spacing w:before="0"/>
              <w:rPr>
                <w:sz w:val="20"/>
              </w:rPr>
            </w:pPr>
            <w:r>
              <w:rPr>
                <w:sz w:val="20"/>
              </w:rPr>
              <w:t>R -</w:t>
            </w:r>
          </w:p>
          <w:p>
            <w:pPr>
              <w:pStyle w:val="TableParagraph"/>
              <w:spacing w:before="0"/>
              <w:ind w:right="170"/>
              <w:rPr>
                <w:sz w:val="20"/>
              </w:rPr>
            </w:pPr>
            <w:r>
              <w:rPr>
                <w:sz w:val="20"/>
              </w:rPr>
              <w:t>Reappropriation S - Spending Authority from Offsetting Collections</w:t>
            </w:r>
          </w:p>
        </w:tc>
        <w:tc>
          <w:tcPr>
            <w:tcW w:w="1044" w:type="dxa"/>
            <w:tcBorders>
              <w:left w:val="single" w:sz="2" w:space="0" w:color="000000"/>
              <w:bottom w:val="single" w:sz="2" w:space="0" w:color="000000"/>
              <w:right w:val="single" w:sz="2" w:space="0" w:color="000000"/>
            </w:tcBorders>
          </w:tcPr>
          <w:p>
            <w:pPr/>
          </w:p>
        </w:tc>
        <w:tc>
          <w:tcPr>
            <w:tcW w:w="917" w:type="dxa"/>
            <w:tcBorders>
              <w:left w:val="single" w:sz="2" w:space="0" w:color="000000"/>
              <w:bottom w:val="single" w:sz="2" w:space="0" w:color="000000"/>
              <w:right w:val="single" w:sz="2" w:space="0" w:color="000000"/>
            </w:tcBorders>
          </w:tcPr>
          <w:p>
            <w:pPr/>
          </w:p>
        </w:tc>
        <w:tc>
          <w:tcPr>
            <w:tcW w:w="958" w:type="dxa"/>
            <w:tcBorders>
              <w:left w:val="single" w:sz="2" w:space="0" w:color="000000"/>
              <w:bottom w:val="single" w:sz="2" w:space="0" w:color="000000"/>
              <w:right w:val="single" w:sz="2" w:space="0" w:color="000000"/>
            </w:tcBorders>
          </w:tcPr>
          <w:p>
            <w:pP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spacing w:before="17"/>
              <w:rPr>
                <w:sz w:val="20"/>
              </w:rPr>
            </w:pPr>
            <w:r>
              <w:rPr>
                <w:sz w:val="20"/>
              </w:rPr>
              <w:t>Availability Time Indicator</w:t>
            </w:r>
          </w:p>
        </w:tc>
        <w:tc>
          <w:tcPr>
            <w:tcW w:w="1219" w:type="dxa"/>
          </w:tcPr>
          <w:p>
            <w:pPr>
              <w:pStyle w:val="TableParagraph"/>
              <w:spacing w:before="12"/>
              <w:ind w:left="7"/>
              <w:rPr>
                <w:sz w:val="20"/>
              </w:rPr>
            </w:pPr>
            <w:r>
              <w:rPr>
                <w:sz w:val="20"/>
              </w:rPr>
              <w:t>Avail Time</w:t>
            </w:r>
          </w:p>
        </w:tc>
        <w:tc>
          <w:tcPr>
            <w:tcW w:w="4543" w:type="dxa"/>
            <w:tcBorders>
              <w:top w:val="single" w:sz="2" w:space="0" w:color="000000"/>
              <w:bottom w:val="single" w:sz="2" w:space="0" w:color="000000"/>
              <w:right w:val="single" w:sz="2" w:space="0" w:color="000000"/>
            </w:tcBorders>
          </w:tcPr>
          <w:p>
            <w:pPr>
              <w:pStyle w:val="TableParagraph"/>
              <w:spacing w:before="17"/>
              <w:ind w:left="7" w:right="7"/>
              <w:rPr>
                <w:sz w:val="20"/>
              </w:rPr>
            </w:pPr>
            <w:r>
              <w:rPr>
                <w:sz w:val="20"/>
              </w:rPr>
              <w:t>Indicates whether a budgetary resource is available for new obligations in the current period, or in a subsequent period within the current fiscal year or after being reapportioned in a future fiscal year.</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176"/>
              <w:rPr>
                <w:sz w:val="20"/>
              </w:rPr>
            </w:pPr>
            <w:r>
              <w:rPr>
                <w:sz w:val="20"/>
              </w:rPr>
              <w:t>A - Available in current period</w:t>
            </w:r>
          </w:p>
          <w:p>
            <w:pPr>
              <w:pStyle w:val="TableParagraph"/>
              <w:spacing w:before="0"/>
              <w:rPr>
                <w:sz w:val="20"/>
              </w:rPr>
            </w:pPr>
            <w:r>
              <w:rPr>
                <w:sz w:val="20"/>
              </w:rPr>
              <w:t>S - Available in subsequent period</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r>
        <w:trPr>
          <w:trHeight w:val="734" w:hRule="exact"/>
        </w:trPr>
        <w:tc>
          <w:tcPr>
            <w:tcW w:w="2112" w:type="dxa"/>
            <w:tcBorders>
              <w:top w:val="single" w:sz="2" w:space="0" w:color="000000"/>
              <w:left w:val="single" w:sz="2" w:space="0" w:color="000000"/>
              <w:bottom w:val="single" w:sz="2" w:space="0" w:color="000000"/>
            </w:tcBorders>
          </w:tcPr>
          <w:p>
            <w:pPr>
              <w:pStyle w:val="TableParagraph"/>
              <w:spacing w:before="17"/>
              <w:rPr>
                <w:sz w:val="20"/>
              </w:rPr>
            </w:pPr>
            <w:r>
              <w:rPr>
                <w:sz w:val="20"/>
              </w:rPr>
              <w:t>BEA Category Indicator</w:t>
            </w:r>
          </w:p>
        </w:tc>
        <w:tc>
          <w:tcPr>
            <w:tcW w:w="1219" w:type="dxa"/>
          </w:tcPr>
          <w:p>
            <w:pPr>
              <w:pStyle w:val="TableParagraph"/>
              <w:spacing w:before="12"/>
              <w:ind w:left="7"/>
              <w:rPr>
                <w:sz w:val="20"/>
              </w:rPr>
            </w:pPr>
            <w:r>
              <w:rPr>
                <w:sz w:val="20"/>
              </w:rPr>
              <w:t>BEA Cat</w:t>
            </w:r>
          </w:p>
        </w:tc>
        <w:tc>
          <w:tcPr>
            <w:tcW w:w="4543" w:type="dxa"/>
            <w:tcBorders>
              <w:top w:val="single" w:sz="2" w:space="0" w:color="000000"/>
              <w:bottom w:val="single" w:sz="2" w:space="0" w:color="000000"/>
              <w:right w:val="single" w:sz="2" w:space="0" w:color="000000"/>
            </w:tcBorders>
          </w:tcPr>
          <w:p>
            <w:pPr>
              <w:pStyle w:val="TableParagraph"/>
              <w:spacing w:before="17"/>
              <w:ind w:left="7" w:right="163"/>
              <w:rPr>
                <w:sz w:val="20"/>
              </w:rPr>
            </w:pPr>
            <w:r>
              <w:rPr>
                <w:sz w:val="20"/>
              </w:rPr>
              <w:t>Indicates whether the Budget Enforcement Act (BEA) category is mandatory or discretionary.</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70"/>
              <w:rPr>
                <w:sz w:val="20"/>
              </w:rPr>
            </w:pPr>
            <w:r>
              <w:rPr>
                <w:sz w:val="20"/>
              </w:rPr>
              <w:t>D - Discretionary M - Mandatory</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spacing w:before="17"/>
              <w:rPr>
                <w:sz w:val="20"/>
              </w:rPr>
            </w:pPr>
            <w:r>
              <w:rPr>
                <w:sz w:val="20"/>
              </w:rPr>
              <w:t>Begin End Indicator</w:t>
            </w:r>
          </w:p>
        </w:tc>
        <w:tc>
          <w:tcPr>
            <w:tcW w:w="1219" w:type="dxa"/>
          </w:tcPr>
          <w:p>
            <w:pPr>
              <w:pStyle w:val="TableParagraph"/>
              <w:spacing w:before="12"/>
              <w:ind w:left="7"/>
              <w:rPr>
                <w:sz w:val="20"/>
              </w:rPr>
            </w:pPr>
            <w:r>
              <w:rPr>
                <w:sz w:val="20"/>
              </w:rPr>
              <w:t>Begin/End</w:t>
            </w:r>
          </w:p>
        </w:tc>
        <w:tc>
          <w:tcPr>
            <w:tcW w:w="4543" w:type="dxa"/>
            <w:tcBorders>
              <w:top w:val="single" w:sz="2" w:space="0" w:color="000000"/>
              <w:bottom w:val="single" w:sz="2" w:space="0" w:color="000000"/>
              <w:right w:val="single" w:sz="2" w:space="0" w:color="000000"/>
            </w:tcBorders>
          </w:tcPr>
          <w:p>
            <w:pPr>
              <w:pStyle w:val="TableParagraph"/>
              <w:spacing w:before="17"/>
              <w:ind w:left="7" w:right="52"/>
              <w:rPr>
                <w:sz w:val="20"/>
              </w:rPr>
            </w:pPr>
            <w:r>
              <w:rPr>
                <w:sz w:val="20"/>
              </w:rPr>
              <w:t>Indicates whether the balance or an USSGL account/attribute combination is at the start of the fiscal year or at the end of a period.</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 - Beginning Balance</w:t>
            </w:r>
          </w:p>
          <w:p>
            <w:pPr>
              <w:pStyle w:val="TableParagraph"/>
              <w:spacing w:before="0"/>
              <w:ind w:right="603"/>
              <w:rPr>
                <w:sz w:val="20"/>
              </w:rPr>
            </w:pPr>
            <w:r>
              <w:rPr>
                <w:sz w:val="20"/>
              </w:rPr>
              <w:t>E - Ending Balance</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TFM</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spacing w:before="17"/>
              <w:ind w:right="376"/>
              <w:rPr>
                <w:sz w:val="20"/>
              </w:rPr>
            </w:pPr>
            <w:r>
              <w:rPr>
                <w:sz w:val="20"/>
              </w:rPr>
              <w:t>Borrowing Authority From the Public</w:t>
            </w:r>
          </w:p>
        </w:tc>
        <w:tc>
          <w:tcPr>
            <w:tcW w:w="1219" w:type="dxa"/>
          </w:tcPr>
          <w:p>
            <w:pPr>
              <w:pStyle w:val="TableParagraph"/>
              <w:spacing w:before="12"/>
              <w:ind w:left="7" w:right="185"/>
              <w:rPr>
                <w:sz w:val="20"/>
              </w:rPr>
            </w:pPr>
            <w:r>
              <w:rPr>
                <w:w w:val="95"/>
                <w:sz w:val="20"/>
              </w:rPr>
              <w:t>Borrowing </w:t>
            </w:r>
            <w:r>
              <w:rPr>
                <w:sz w:val="20"/>
              </w:rPr>
              <w:t>Authority From the Public</w:t>
            </w:r>
          </w:p>
        </w:tc>
        <w:tc>
          <w:tcPr>
            <w:tcW w:w="4543" w:type="dxa"/>
            <w:tcBorders>
              <w:top w:val="single" w:sz="2" w:space="0" w:color="000000"/>
              <w:bottom w:val="single" w:sz="2" w:space="0" w:color="000000"/>
              <w:right w:val="single" w:sz="2" w:space="0" w:color="000000"/>
            </w:tcBorders>
          </w:tcPr>
          <w:p>
            <w:pPr>
              <w:pStyle w:val="TableParagraph"/>
              <w:spacing w:before="17"/>
              <w:ind w:left="7" w:right="546"/>
              <w:rPr>
                <w:sz w:val="20"/>
              </w:rPr>
            </w:pPr>
            <w:r>
              <w:rPr>
                <w:sz w:val="20"/>
              </w:rPr>
              <w:t>Definite Indefinite Borrowing Authority from the Public</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479"/>
              <w:rPr>
                <w:sz w:val="20"/>
              </w:rPr>
            </w:pPr>
            <w:r>
              <w:rPr>
                <w:sz w:val="20"/>
              </w:rPr>
              <w:t>D - Definite I -</w:t>
            </w:r>
            <w:r>
              <w:rPr>
                <w:spacing w:val="-9"/>
                <w:sz w:val="20"/>
              </w:rPr>
              <w:t> </w:t>
            </w:r>
            <w:r>
              <w:rPr>
                <w:sz w:val="20"/>
              </w:rPr>
              <w:t>Indefinite M - Mixed N -</w:t>
            </w:r>
            <w:r>
              <w:rPr>
                <w:spacing w:val="-6"/>
                <w:sz w:val="20"/>
              </w:rPr>
              <w:t> </w:t>
            </w:r>
            <w:r>
              <w:rPr>
                <w:sz w:val="20"/>
              </w:rPr>
              <w:t>Null</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1/C</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MTS</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TAS</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spacing w:before="17"/>
              <w:ind w:right="376"/>
              <w:rPr>
                <w:sz w:val="20"/>
              </w:rPr>
            </w:pPr>
            <w:r>
              <w:rPr>
                <w:sz w:val="20"/>
              </w:rPr>
              <w:t>Borrowing Authority From the Treasury</w:t>
            </w:r>
          </w:p>
        </w:tc>
        <w:tc>
          <w:tcPr>
            <w:tcW w:w="1219" w:type="dxa"/>
          </w:tcPr>
          <w:p>
            <w:pPr>
              <w:pStyle w:val="TableParagraph"/>
              <w:spacing w:before="12"/>
              <w:ind w:left="7" w:right="185"/>
              <w:rPr>
                <w:sz w:val="20"/>
              </w:rPr>
            </w:pPr>
            <w:r>
              <w:rPr>
                <w:w w:val="95"/>
                <w:sz w:val="20"/>
              </w:rPr>
              <w:t>Borrowing </w:t>
            </w:r>
            <w:r>
              <w:rPr>
                <w:sz w:val="20"/>
              </w:rPr>
              <w:t>Authority From the Treasury</w:t>
            </w:r>
          </w:p>
        </w:tc>
        <w:tc>
          <w:tcPr>
            <w:tcW w:w="4543" w:type="dxa"/>
            <w:tcBorders>
              <w:top w:val="single" w:sz="2" w:space="0" w:color="000000"/>
              <w:bottom w:val="single" w:sz="2" w:space="0" w:color="000000"/>
              <w:right w:val="single" w:sz="2" w:space="0" w:color="000000"/>
            </w:tcBorders>
          </w:tcPr>
          <w:p>
            <w:pPr>
              <w:pStyle w:val="TableParagraph"/>
              <w:spacing w:before="17"/>
              <w:ind w:left="7"/>
              <w:rPr>
                <w:sz w:val="20"/>
              </w:rPr>
            </w:pPr>
            <w:r>
              <w:rPr>
                <w:sz w:val="20"/>
              </w:rPr>
              <w:t>Definite Indefinite Borrowing Authority</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479"/>
              <w:rPr>
                <w:sz w:val="20"/>
              </w:rPr>
            </w:pPr>
            <w:r>
              <w:rPr>
                <w:sz w:val="20"/>
              </w:rPr>
              <w:t>D - Definite I -</w:t>
            </w:r>
            <w:r>
              <w:rPr>
                <w:spacing w:val="-9"/>
                <w:sz w:val="20"/>
              </w:rPr>
              <w:t> </w:t>
            </w:r>
            <w:r>
              <w:rPr>
                <w:sz w:val="20"/>
              </w:rPr>
              <w:t>Indefinite M - Mixed N -</w:t>
            </w:r>
            <w:r>
              <w:rPr>
                <w:spacing w:val="-6"/>
                <w:sz w:val="20"/>
              </w:rPr>
              <w:t> </w:t>
            </w:r>
            <w:r>
              <w:rPr>
                <w:sz w:val="20"/>
              </w:rPr>
              <w:t>Null</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1/C</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Treasury</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TAS</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spacing w:before="17"/>
              <w:rPr>
                <w:sz w:val="20"/>
              </w:rPr>
            </w:pPr>
            <w:r>
              <w:rPr>
                <w:sz w:val="20"/>
              </w:rPr>
              <w:t>Borrowing Source Code</w:t>
            </w:r>
          </w:p>
        </w:tc>
        <w:tc>
          <w:tcPr>
            <w:tcW w:w="1219" w:type="dxa"/>
          </w:tcPr>
          <w:p>
            <w:pPr>
              <w:pStyle w:val="TableParagraph"/>
              <w:spacing w:before="12"/>
              <w:ind w:left="7" w:right="566"/>
              <w:rPr>
                <w:sz w:val="20"/>
              </w:rPr>
            </w:pPr>
            <w:r>
              <w:rPr>
                <w:sz w:val="20"/>
              </w:rPr>
              <w:t>Borrow Source</w:t>
            </w:r>
          </w:p>
        </w:tc>
        <w:tc>
          <w:tcPr>
            <w:tcW w:w="4543" w:type="dxa"/>
            <w:tcBorders>
              <w:top w:val="single" w:sz="2" w:space="0" w:color="000000"/>
              <w:bottom w:val="single" w:sz="2" w:space="0" w:color="000000"/>
              <w:right w:val="single" w:sz="2" w:space="0" w:color="000000"/>
            </w:tcBorders>
          </w:tcPr>
          <w:p>
            <w:pPr>
              <w:pStyle w:val="TableParagraph"/>
              <w:spacing w:before="17"/>
              <w:ind w:left="7" w:right="-4"/>
              <w:rPr>
                <w:sz w:val="20"/>
              </w:rPr>
            </w:pPr>
            <w:r>
              <w:rPr>
                <w:sz w:val="20"/>
              </w:rPr>
              <w:t>Indicates whether borrowing took place from the public, Treasury, or a Federal financing bank.</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198"/>
              <w:rPr>
                <w:sz w:val="20"/>
              </w:rPr>
            </w:pPr>
            <w:r>
              <w:rPr>
                <w:sz w:val="20"/>
              </w:rPr>
              <w:t>F - Federal Financing Bank P - Public</w:t>
            </w:r>
          </w:p>
          <w:p>
            <w:pPr>
              <w:pStyle w:val="TableParagraph"/>
              <w:spacing w:before="0"/>
              <w:rPr>
                <w:sz w:val="20"/>
              </w:rPr>
            </w:pPr>
            <w:r>
              <w:rPr>
                <w:sz w:val="20"/>
              </w:rPr>
              <w:t>T - Treasury</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ight="416"/>
              <w:rPr>
                <w:sz w:val="20"/>
              </w:rPr>
            </w:pPr>
            <w:r>
              <w:rPr>
                <w:sz w:val="20"/>
              </w:rPr>
              <w:t>TFM, 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bl>
    <w:p>
      <w:pPr>
        <w:spacing w:after="0"/>
        <w:rPr>
          <w:sz w:val="20"/>
        </w:rPr>
        <w:sectPr>
          <w:pgSz w:w="15840" w:h="12240" w:orient="landscape"/>
          <w:pgMar w:header="722" w:footer="748" w:top="1620" w:bottom="940" w:left="1300" w:right="1800"/>
        </w:sectPr>
      </w:pPr>
    </w:p>
    <w:p>
      <w:pPr>
        <w:spacing w:line="240" w:lineRule="auto" w:before="5" w:after="1"/>
        <w:rPr>
          <w:sz w:val="2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w w:val="95"/>
                <w:sz w:val="20"/>
              </w:rPr>
              <w:t>Attribute </w:t>
            </w:r>
            <w:r>
              <w:rPr>
                <w:b/>
                <w:sz w:val="20"/>
              </w:rPr>
              <w:t>Name</w:t>
            </w:r>
          </w:p>
        </w:tc>
        <w:tc>
          <w:tcPr>
            <w:tcW w:w="1219" w:type="dxa"/>
          </w:tcPr>
          <w:p>
            <w:pPr>
              <w:pStyle w:val="TableParagraph"/>
              <w:spacing w:before="15"/>
              <w:ind w:left="352" w:right="185" w:hanging="152"/>
              <w:rPr>
                <w:b/>
                <w:sz w:val="20"/>
              </w:rPr>
            </w:pPr>
            <w:r>
              <w:rPr>
                <w:b/>
                <w:sz w:val="20"/>
              </w:rPr>
              <w:t>Attribute Short Name</w:t>
            </w:r>
          </w:p>
        </w:tc>
        <w:tc>
          <w:tcPr>
            <w:tcW w:w="4543" w:type="dxa"/>
          </w:tcPr>
          <w:p>
            <w:pPr>
              <w:pStyle w:val="TableParagraph"/>
              <w:spacing w:before="3"/>
              <w:ind w:left="0"/>
              <w:rPr>
                <w:sz w:val="21"/>
              </w:rPr>
            </w:pPr>
          </w:p>
          <w:p>
            <w:pPr>
              <w:pStyle w:val="TableParagraph"/>
              <w:spacing w:before="1"/>
              <w:ind w:left="1833" w:right="1838" w:firstLine="2"/>
              <w:jc w:val="center"/>
              <w:rPr>
                <w:b/>
                <w:sz w:val="20"/>
              </w:rPr>
            </w:pPr>
            <w:r>
              <w:rPr>
                <w:b/>
                <w:sz w:val="20"/>
              </w:rPr>
              <w:t>Attribute Definition</w:t>
            </w:r>
          </w:p>
        </w:tc>
        <w:tc>
          <w:tcPr>
            <w:tcW w:w="1507" w:type="dxa"/>
          </w:tcPr>
          <w:p>
            <w:pPr>
              <w:pStyle w:val="TableParagraph"/>
              <w:spacing w:before="0"/>
              <w:ind w:left="0"/>
              <w:rPr>
                <w:sz w:val="22"/>
              </w:rPr>
            </w:pPr>
          </w:p>
          <w:p>
            <w:pPr>
              <w:pStyle w:val="TableParagraph"/>
              <w:spacing w:before="1"/>
              <w:ind w:left="0"/>
              <w:rPr>
                <w:sz w:val="19"/>
              </w:rPr>
            </w:pPr>
          </w:p>
          <w:p>
            <w:pPr>
              <w:pStyle w:val="TableParagraph"/>
              <w:spacing w:before="1"/>
              <w:ind w:left="407"/>
              <w:rPr>
                <w:b/>
                <w:sz w:val="20"/>
              </w:rPr>
            </w:pPr>
            <w:r>
              <w:rPr>
                <w:b/>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sz w:val="20"/>
              </w:rPr>
              <w:t>System Characters</w:t>
            </w:r>
          </w:p>
        </w:tc>
        <w:tc>
          <w:tcPr>
            <w:tcW w:w="917" w:type="dxa"/>
          </w:tcPr>
          <w:p>
            <w:pPr>
              <w:pStyle w:val="TableParagraph"/>
              <w:spacing w:before="0"/>
              <w:ind w:left="0"/>
              <w:rPr>
                <w:sz w:val="22"/>
              </w:rPr>
            </w:pPr>
          </w:p>
          <w:p>
            <w:pPr>
              <w:pStyle w:val="TableParagraph"/>
              <w:spacing w:before="1"/>
              <w:ind w:left="0"/>
              <w:rPr>
                <w:sz w:val="19"/>
              </w:rPr>
            </w:pPr>
          </w:p>
          <w:p>
            <w:pPr>
              <w:pStyle w:val="TableParagraph"/>
              <w:spacing w:before="1"/>
              <w:ind w:left="24"/>
              <w:rPr>
                <w:b/>
                <w:sz w:val="20"/>
              </w:rPr>
            </w:pPr>
            <w:r>
              <w:rPr>
                <w:b/>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w w:val="95"/>
                <w:sz w:val="20"/>
              </w:rPr>
              <w:t>Supplied </w:t>
            </w:r>
            <w:r>
              <w:rPr>
                <w:b/>
                <w:sz w:val="20"/>
              </w:rPr>
              <w:t>By</w:t>
            </w:r>
          </w:p>
        </w:tc>
      </w:tr>
      <w:tr>
        <w:trPr>
          <w:trHeight w:val="960" w:hRule="exact"/>
        </w:trPr>
        <w:tc>
          <w:tcPr>
            <w:tcW w:w="2112" w:type="dxa"/>
            <w:tcBorders>
              <w:left w:val="single" w:sz="2" w:space="0" w:color="000000"/>
              <w:bottom w:val="single" w:sz="2" w:space="0" w:color="000000"/>
            </w:tcBorders>
          </w:tcPr>
          <w:p>
            <w:pPr>
              <w:pStyle w:val="TableParagraph"/>
              <w:spacing w:before="7"/>
              <w:ind w:right="632"/>
              <w:rPr>
                <w:sz w:val="20"/>
              </w:rPr>
            </w:pPr>
            <w:r>
              <w:rPr>
                <w:sz w:val="20"/>
              </w:rPr>
              <w:t>Budgetary Impact Indicator</w:t>
            </w:r>
          </w:p>
        </w:tc>
        <w:tc>
          <w:tcPr>
            <w:tcW w:w="1219" w:type="dxa"/>
          </w:tcPr>
          <w:p>
            <w:pPr>
              <w:pStyle w:val="TableParagraph"/>
              <w:spacing w:before="7"/>
              <w:ind w:left="7" w:right="344"/>
              <w:rPr>
                <w:sz w:val="20"/>
              </w:rPr>
            </w:pPr>
            <w:r>
              <w:rPr>
                <w:sz w:val="20"/>
              </w:rPr>
              <w:t>Budgetary Impact Indicator</w:t>
            </w:r>
          </w:p>
        </w:tc>
        <w:tc>
          <w:tcPr>
            <w:tcW w:w="4543" w:type="dxa"/>
            <w:tcBorders>
              <w:bottom w:val="single" w:sz="2" w:space="0" w:color="000000"/>
              <w:right w:val="single" w:sz="2" w:space="0" w:color="000000"/>
            </w:tcBorders>
          </w:tcPr>
          <w:p>
            <w:pPr>
              <w:pStyle w:val="TableParagraph"/>
              <w:spacing w:before="7"/>
              <w:ind w:left="7" w:right="619"/>
              <w:rPr>
                <w:sz w:val="20"/>
              </w:rPr>
            </w:pPr>
            <w:r>
              <w:rPr>
                <w:sz w:val="20"/>
              </w:rPr>
              <w:t>Indicates whether financing resources and non- exchange revenue have an impact on the budget.</w:t>
            </w:r>
          </w:p>
        </w:tc>
        <w:tc>
          <w:tcPr>
            <w:tcW w:w="1507" w:type="dxa"/>
            <w:tcBorders>
              <w:left w:val="single" w:sz="2" w:space="0" w:color="000000"/>
              <w:bottom w:val="single" w:sz="2" w:space="0" w:color="000000"/>
              <w:right w:val="single" w:sz="2" w:space="0" w:color="000000"/>
            </w:tcBorders>
          </w:tcPr>
          <w:p>
            <w:pPr>
              <w:pStyle w:val="TableParagraph"/>
              <w:spacing w:before="7"/>
              <w:ind w:right="326"/>
              <w:rPr>
                <w:sz w:val="20"/>
              </w:rPr>
            </w:pPr>
            <w:r>
              <w:rPr>
                <w:sz w:val="20"/>
              </w:rPr>
              <w:t>D - Budgetary Impact</w:t>
            </w:r>
          </w:p>
          <w:p>
            <w:pPr>
              <w:pStyle w:val="TableParagraph"/>
              <w:spacing w:before="0"/>
              <w:ind w:right="32"/>
              <w:rPr>
                <w:sz w:val="20"/>
              </w:rPr>
            </w:pPr>
            <w:r>
              <w:rPr>
                <w:sz w:val="20"/>
              </w:rPr>
              <w:t>E - Non- Budgetary Impact</w:t>
            </w:r>
          </w:p>
        </w:tc>
        <w:tc>
          <w:tcPr>
            <w:tcW w:w="1044" w:type="dxa"/>
            <w:tcBorders>
              <w:left w:val="single" w:sz="2" w:space="0" w:color="000000"/>
              <w:bottom w:val="single" w:sz="2" w:space="0" w:color="000000"/>
              <w:right w:val="single" w:sz="2" w:space="0" w:color="000000"/>
            </w:tcBorders>
          </w:tcPr>
          <w:p>
            <w:pPr>
              <w:pStyle w:val="TableParagraph"/>
              <w:spacing w:before="7"/>
              <w:ind w:left="14"/>
              <w:rPr>
                <w:sz w:val="20"/>
              </w:rPr>
            </w:pPr>
            <w:r>
              <w:rPr>
                <w:sz w:val="20"/>
              </w:rPr>
              <w:t>1/A</w:t>
            </w:r>
          </w:p>
        </w:tc>
        <w:tc>
          <w:tcPr>
            <w:tcW w:w="917" w:type="dxa"/>
            <w:tcBorders>
              <w:left w:val="single" w:sz="2" w:space="0" w:color="000000"/>
              <w:bottom w:val="single" w:sz="2" w:space="0" w:color="000000"/>
              <w:right w:val="single" w:sz="2" w:space="0" w:color="000000"/>
            </w:tcBorders>
          </w:tcPr>
          <w:p>
            <w:pPr>
              <w:pStyle w:val="TableParagraph"/>
              <w:spacing w:before="7"/>
              <w:ind w:left="14"/>
              <w:rPr>
                <w:sz w:val="20"/>
              </w:rPr>
            </w:pPr>
            <w:r>
              <w:rPr>
                <w:sz w:val="20"/>
              </w:rPr>
              <w:t>TFM</w:t>
            </w:r>
          </w:p>
        </w:tc>
        <w:tc>
          <w:tcPr>
            <w:tcW w:w="958" w:type="dxa"/>
            <w:tcBorders>
              <w:left w:val="single" w:sz="2" w:space="0" w:color="000000"/>
              <w:bottom w:val="single" w:sz="2" w:space="0" w:color="000000"/>
              <w:right w:val="single" w:sz="2" w:space="0" w:color="000000"/>
            </w:tcBorders>
          </w:tcPr>
          <w:p>
            <w:pPr>
              <w:pStyle w:val="TableParagraph"/>
              <w:spacing w:before="7"/>
              <w:rPr>
                <w:sz w:val="20"/>
              </w:rPr>
            </w:pPr>
            <w:r>
              <w:rPr>
                <w:sz w:val="20"/>
              </w:rPr>
              <w:t>Bulk File</w:t>
            </w:r>
          </w:p>
        </w:tc>
      </w:tr>
      <w:tr>
        <w:trPr>
          <w:trHeight w:val="1654" w:hRule="exact"/>
        </w:trPr>
        <w:tc>
          <w:tcPr>
            <w:tcW w:w="2112" w:type="dxa"/>
            <w:tcBorders>
              <w:top w:val="single" w:sz="2" w:space="0" w:color="000000"/>
              <w:left w:val="single" w:sz="2" w:space="0" w:color="000000"/>
              <w:bottom w:val="single" w:sz="2" w:space="0" w:color="000000"/>
            </w:tcBorders>
          </w:tcPr>
          <w:p>
            <w:pPr>
              <w:pStyle w:val="TableParagraph"/>
              <w:spacing w:before="17"/>
              <w:ind w:right="287"/>
              <w:rPr>
                <w:sz w:val="20"/>
              </w:rPr>
            </w:pPr>
            <w:r>
              <w:rPr>
                <w:sz w:val="20"/>
              </w:rPr>
              <w:t>Budgetary Proprietary Code</w:t>
            </w:r>
          </w:p>
        </w:tc>
        <w:tc>
          <w:tcPr>
            <w:tcW w:w="1219" w:type="dxa"/>
          </w:tcPr>
          <w:p>
            <w:pPr>
              <w:pStyle w:val="TableParagraph"/>
              <w:spacing w:before="12"/>
              <w:ind w:left="7"/>
              <w:rPr>
                <w:sz w:val="20"/>
              </w:rPr>
            </w:pPr>
            <w:r>
              <w:rPr>
                <w:sz w:val="20"/>
              </w:rPr>
              <w:t>Budg/Prop</w:t>
            </w:r>
          </w:p>
        </w:tc>
        <w:tc>
          <w:tcPr>
            <w:tcW w:w="4543" w:type="dxa"/>
            <w:tcBorders>
              <w:top w:val="single" w:sz="2" w:space="0" w:color="000000"/>
              <w:bottom w:val="single" w:sz="2" w:space="0" w:color="000000"/>
              <w:right w:val="single" w:sz="2" w:space="0" w:color="000000"/>
            </w:tcBorders>
          </w:tcPr>
          <w:p>
            <w:pPr>
              <w:pStyle w:val="TableParagraph"/>
              <w:spacing w:before="17"/>
              <w:ind w:left="7" w:right="113"/>
              <w:rPr>
                <w:sz w:val="20"/>
              </w:rPr>
            </w:pPr>
            <w:r>
              <w:rPr>
                <w:sz w:val="20"/>
              </w:rPr>
              <w:t>Indicates if a USSGL account is reported on a budgetary, proprietary statement or both. For example USSGL account 161000 Investments in U.S. Treasury Securities Issued by the Bureau of the Fiscal Service is reported on the Balance Sheet and the Schedule P. USSGL account 161000 domain value will be A.</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A - Both Budgetary and Proprietary</w:t>
            </w:r>
          </w:p>
          <w:p>
            <w:pPr>
              <w:pStyle w:val="TableParagraph"/>
              <w:spacing w:before="0"/>
              <w:ind w:right="292"/>
              <w:rPr>
                <w:sz w:val="20"/>
              </w:rPr>
            </w:pPr>
            <w:r>
              <w:rPr>
                <w:sz w:val="20"/>
              </w:rPr>
              <w:t>B - Budgetary P - Proprietary</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OMB</w:t>
            </w:r>
          </w:p>
          <w:p>
            <w:pPr>
              <w:pStyle w:val="TableParagraph"/>
              <w:spacing w:before="0"/>
              <w:ind w:left="14" w:right="157"/>
              <w:rPr>
                <w:sz w:val="20"/>
              </w:rPr>
            </w:pPr>
            <w:r>
              <w:rPr>
                <w:sz w:val="20"/>
              </w:rPr>
              <w:t>Circ. No. A-11, OMB</w:t>
            </w:r>
          </w:p>
          <w:p>
            <w:pPr>
              <w:pStyle w:val="TableParagraph"/>
              <w:spacing w:before="0"/>
              <w:ind w:left="14" w:right="157"/>
              <w:rPr>
                <w:sz w:val="20"/>
              </w:rPr>
            </w:pPr>
            <w:r>
              <w:rPr>
                <w:sz w:val="20"/>
              </w:rPr>
              <w:t>Circ. No. A-136, TFM</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USSGL</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Contract Authority</w:t>
            </w:r>
          </w:p>
        </w:tc>
        <w:tc>
          <w:tcPr>
            <w:tcW w:w="1219" w:type="dxa"/>
          </w:tcPr>
          <w:p>
            <w:pPr>
              <w:pStyle w:val="TableParagraph"/>
              <w:spacing w:before="15"/>
              <w:ind w:left="7" w:right="400"/>
              <w:rPr>
                <w:sz w:val="20"/>
              </w:rPr>
            </w:pPr>
            <w:r>
              <w:rPr>
                <w:sz w:val="20"/>
              </w:rPr>
              <w:t>Contract Authority</w:t>
            </w:r>
          </w:p>
        </w:tc>
        <w:tc>
          <w:tcPr>
            <w:tcW w:w="4543" w:type="dxa"/>
            <w:tcBorders>
              <w:top w:val="single" w:sz="2" w:space="0" w:color="000000"/>
              <w:bottom w:val="single" w:sz="2" w:space="0" w:color="000000"/>
              <w:right w:val="single" w:sz="2" w:space="0" w:color="000000"/>
            </w:tcBorders>
          </w:tcPr>
          <w:p>
            <w:pPr>
              <w:pStyle w:val="TableParagraph"/>
              <w:ind w:left="7"/>
              <w:rPr>
                <w:sz w:val="20"/>
              </w:rPr>
            </w:pPr>
            <w:r>
              <w:rPr>
                <w:sz w:val="20"/>
              </w:rPr>
              <w:t>Definite or Indefinite Contract Authority</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479"/>
              <w:rPr>
                <w:sz w:val="20"/>
              </w:rPr>
            </w:pPr>
            <w:r>
              <w:rPr>
                <w:sz w:val="20"/>
              </w:rPr>
              <w:t>D - Definite I -</w:t>
            </w:r>
            <w:r>
              <w:rPr>
                <w:spacing w:val="-9"/>
                <w:sz w:val="20"/>
              </w:rPr>
              <w:t> </w:t>
            </w:r>
            <w:r>
              <w:rPr>
                <w:sz w:val="20"/>
              </w:rPr>
              <w:t>Indefinite M - Mixed N -</w:t>
            </w:r>
            <w:r>
              <w:rPr>
                <w:spacing w:val="-6"/>
                <w:sz w:val="20"/>
              </w:rPr>
              <w:t> </w:t>
            </w:r>
            <w:r>
              <w:rPr>
                <w:sz w:val="20"/>
              </w:rPr>
              <w:t>Null</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1/C</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MTS</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TAS</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Credit Cohort Year</w:t>
            </w:r>
          </w:p>
        </w:tc>
        <w:tc>
          <w:tcPr>
            <w:tcW w:w="1219" w:type="dxa"/>
          </w:tcPr>
          <w:p>
            <w:pPr>
              <w:pStyle w:val="TableParagraph"/>
              <w:spacing w:before="15"/>
              <w:ind w:left="7"/>
              <w:rPr>
                <w:sz w:val="20"/>
              </w:rPr>
            </w:pPr>
            <w:r>
              <w:rPr>
                <w:sz w:val="20"/>
              </w:rPr>
              <w:t>Cohort Yr</w:t>
            </w:r>
          </w:p>
        </w:tc>
        <w:tc>
          <w:tcPr>
            <w:tcW w:w="4543" w:type="dxa"/>
            <w:tcBorders>
              <w:top w:val="single" w:sz="2" w:space="0" w:color="000000"/>
              <w:bottom w:val="single" w:sz="2" w:space="0" w:color="000000"/>
              <w:right w:val="single" w:sz="2" w:space="0" w:color="000000"/>
            </w:tcBorders>
          </w:tcPr>
          <w:p>
            <w:pPr>
              <w:pStyle w:val="TableParagraph"/>
              <w:ind w:left="7" w:right="125"/>
              <w:rPr>
                <w:sz w:val="20"/>
              </w:rPr>
            </w:pPr>
            <w:r>
              <w:rPr>
                <w:sz w:val="20"/>
              </w:rPr>
              <w:t>Fiscal year when direct loans are obligated or guarantees committed by a program, even if disbursements occur in subsequent fiscal years.</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line="229" w:lineRule="exact"/>
              <w:rPr>
                <w:sz w:val="20"/>
              </w:rPr>
            </w:pPr>
            <w:r>
              <w:rPr>
                <w:sz w:val="20"/>
              </w:rPr>
              <w:t>1001 OPIC</w:t>
            </w:r>
          </w:p>
          <w:p>
            <w:pPr>
              <w:pStyle w:val="TableParagraph"/>
              <w:spacing w:before="0"/>
              <w:ind w:right="376"/>
              <w:rPr>
                <w:sz w:val="20"/>
              </w:rPr>
            </w:pPr>
            <w:r>
              <w:rPr>
                <w:sz w:val="20"/>
              </w:rPr>
              <w:t>Working Capital,1992- 2018</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4/N</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line="229" w:lineRule="exact"/>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ind w:right="187"/>
              <w:rPr>
                <w:sz w:val="20"/>
              </w:rPr>
            </w:pPr>
            <w:r>
              <w:rPr>
                <w:sz w:val="20"/>
              </w:rPr>
              <w:t>Custodial Noncustodial Indicator</w:t>
            </w:r>
          </w:p>
        </w:tc>
        <w:tc>
          <w:tcPr>
            <w:tcW w:w="1219" w:type="dxa"/>
          </w:tcPr>
          <w:p>
            <w:pPr>
              <w:pStyle w:val="TableParagraph"/>
              <w:spacing w:before="15"/>
              <w:ind w:left="7"/>
              <w:rPr>
                <w:sz w:val="20"/>
              </w:rPr>
            </w:pPr>
            <w:r>
              <w:rPr>
                <w:sz w:val="20"/>
              </w:rPr>
              <w:t>Cust/Noncust</w:t>
            </w:r>
          </w:p>
        </w:tc>
        <w:tc>
          <w:tcPr>
            <w:tcW w:w="4543" w:type="dxa"/>
            <w:tcBorders>
              <w:top w:val="single" w:sz="2" w:space="0" w:color="000000"/>
              <w:bottom w:val="single" w:sz="2" w:space="0" w:color="000000"/>
              <w:right w:val="single" w:sz="2" w:space="0" w:color="000000"/>
            </w:tcBorders>
          </w:tcPr>
          <w:p>
            <w:pPr>
              <w:pStyle w:val="TableParagraph"/>
              <w:ind w:left="7" w:right="96"/>
              <w:rPr>
                <w:sz w:val="20"/>
              </w:rPr>
            </w:pPr>
            <w:r>
              <w:rPr>
                <w:sz w:val="20"/>
              </w:rPr>
              <w:t>Custodial amounts are reported on the Statement of Custodial Activity (SCA) or on the custodial footnote. Noncustodial amounts are not reported on the SCA nor on the custodial footnote.</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26"/>
              <w:rPr>
                <w:sz w:val="20"/>
              </w:rPr>
            </w:pPr>
            <w:r>
              <w:rPr>
                <w:sz w:val="20"/>
              </w:rPr>
              <w:t>A - Non-custodial S - Custodial</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SFFAS</w:t>
            </w:r>
          </w:p>
          <w:p>
            <w:pPr>
              <w:pStyle w:val="TableParagraph"/>
              <w:spacing w:line="229" w:lineRule="exact" w:before="0"/>
              <w:ind w:left="14"/>
              <w:rPr>
                <w:sz w:val="20"/>
              </w:rPr>
            </w:pPr>
            <w:r>
              <w:rPr>
                <w:sz w:val="20"/>
              </w:rPr>
              <w:t>#7, OMB</w:t>
            </w:r>
          </w:p>
          <w:p>
            <w:pPr>
              <w:pStyle w:val="TableParagraph"/>
              <w:spacing w:before="0"/>
              <w:ind w:left="14" w:right="157"/>
              <w:rPr>
                <w:sz w:val="20"/>
              </w:rPr>
            </w:pPr>
            <w:r>
              <w:rPr>
                <w:sz w:val="20"/>
              </w:rPr>
              <w:t>Circ. No. A-136</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r>
        <w:trPr>
          <w:trHeight w:val="1656"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Debit Credit Indicator</w:t>
            </w:r>
          </w:p>
        </w:tc>
        <w:tc>
          <w:tcPr>
            <w:tcW w:w="1219" w:type="dxa"/>
          </w:tcPr>
          <w:p>
            <w:pPr>
              <w:pStyle w:val="TableParagraph"/>
              <w:spacing w:before="15"/>
              <w:ind w:left="7"/>
              <w:rPr>
                <w:sz w:val="20"/>
              </w:rPr>
            </w:pPr>
            <w:r>
              <w:rPr>
                <w:sz w:val="20"/>
              </w:rPr>
              <w:t>Debit/Credit</w:t>
            </w:r>
          </w:p>
        </w:tc>
        <w:tc>
          <w:tcPr>
            <w:tcW w:w="4543" w:type="dxa"/>
            <w:tcBorders>
              <w:top w:val="single" w:sz="2" w:space="0" w:color="000000"/>
              <w:bottom w:val="single" w:sz="2" w:space="0" w:color="000000"/>
              <w:right w:val="single" w:sz="2" w:space="0" w:color="000000"/>
            </w:tcBorders>
          </w:tcPr>
          <w:p>
            <w:pPr>
              <w:pStyle w:val="TableParagraph"/>
              <w:ind w:left="7" w:right="430"/>
              <w:rPr>
                <w:sz w:val="20"/>
              </w:rPr>
            </w:pPr>
            <w:r>
              <w:rPr>
                <w:sz w:val="20"/>
              </w:rPr>
              <w:t>Indicates whether the balance reported is a debit or credit.</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670"/>
              <w:rPr>
                <w:sz w:val="20"/>
              </w:rPr>
            </w:pPr>
            <w:r>
              <w:rPr>
                <w:sz w:val="20"/>
              </w:rPr>
              <w:t>D - Debit C - Credit</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OMB</w:t>
            </w:r>
          </w:p>
          <w:p>
            <w:pPr>
              <w:pStyle w:val="TableParagraph"/>
              <w:spacing w:before="0"/>
              <w:ind w:left="14" w:right="157"/>
              <w:rPr>
                <w:sz w:val="20"/>
              </w:rPr>
            </w:pPr>
            <w:r>
              <w:rPr>
                <w:sz w:val="20"/>
              </w:rPr>
              <w:t>Circ. No. A-11, OMB</w:t>
            </w:r>
          </w:p>
          <w:p>
            <w:pPr>
              <w:pStyle w:val="TableParagraph"/>
              <w:spacing w:before="0"/>
              <w:ind w:left="14" w:right="157"/>
              <w:rPr>
                <w:sz w:val="20"/>
              </w:rPr>
            </w:pPr>
            <w:r>
              <w:rPr>
                <w:sz w:val="20"/>
              </w:rPr>
              <w:t>Circ. No. A-136, TFM</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r>
        <w:trPr>
          <w:trHeight w:val="734" w:hRule="exact"/>
        </w:trPr>
        <w:tc>
          <w:tcPr>
            <w:tcW w:w="2112" w:type="dxa"/>
            <w:tcBorders>
              <w:top w:val="single" w:sz="2" w:space="0" w:color="000000"/>
              <w:left w:val="single" w:sz="2" w:space="0" w:color="000000"/>
              <w:bottom w:val="single" w:sz="2" w:space="0" w:color="000000"/>
            </w:tcBorders>
          </w:tcPr>
          <w:p>
            <w:pPr>
              <w:pStyle w:val="TableParagraph"/>
              <w:spacing w:before="17"/>
              <w:rPr>
                <w:sz w:val="20"/>
              </w:rPr>
            </w:pPr>
            <w:r>
              <w:rPr>
                <w:sz w:val="20"/>
              </w:rPr>
              <w:t>Exchange Nonexchange Code</w:t>
            </w:r>
          </w:p>
        </w:tc>
        <w:tc>
          <w:tcPr>
            <w:tcW w:w="1219" w:type="dxa"/>
          </w:tcPr>
          <w:p>
            <w:pPr>
              <w:pStyle w:val="TableParagraph"/>
              <w:spacing w:before="12"/>
              <w:ind w:left="7"/>
              <w:rPr>
                <w:sz w:val="20"/>
              </w:rPr>
            </w:pPr>
            <w:r>
              <w:rPr>
                <w:sz w:val="20"/>
              </w:rPr>
              <w:t>Exch/Nonexch</w:t>
            </w:r>
          </w:p>
        </w:tc>
        <w:tc>
          <w:tcPr>
            <w:tcW w:w="4543" w:type="dxa"/>
            <w:tcBorders>
              <w:top w:val="single" w:sz="2" w:space="0" w:color="000000"/>
              <w:bottom w:val="single" w:sz="2" w:space="0" w:color="000000"/>
              <w:right w:val="single" w:sz="2" w:space="0" w:color="000000"/>
            </w:tcBorders>
          </w:tcPr>
          <w:p>
            <w:pPr>
              <w:pStyle w:val="TableParagraph"/>
              <w:spacing w:before="17"/>
              <w:ind w:left="7" w:right="47"/>
              <w:rPr>
                <w:sz w:val="20"/>
              </w:rPr>
            </w:pPr>
            <w:r>
              <w:rPr>
                <w:sz w:val="20"/>
              </w:rPr>
              <w:t>Indicates whether the revenue, gains or losses balances being reported is exchange (X), nonexchange (T) or (E) exchange revenue with little or no associated costs.</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198"/>
              <w:rPr>
                <w:sz w:val="20"/>
              </w:rPr>
            </w:pPr>
            <w:r>
              <w:rPr>
                <w:sz w:val="20"/>
              </w:rPr>
              <w:t>E - Exchange without associated costs</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SFFAS</w:t>
            </w:r>
          </w:p>
          <w:p>
            <w:pPr>
              <w:pStyle w:val="TableParagraph"/>
              <w:spacing w:before="0"/>
              <w:ind w:left="14"/>
              <w:rPr>
                <w:sz w:val="20"/>
              </w:rPr>
            </w:pPr>
            <w:r>
              <w:rPr>
                <w:sz w:val="20"/>
              </w:rPr>
              <w:t>#7, TFM</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bl>
    <w:p>
      <w:pPr>
        <w:spacing w:after="0"/>
        <w:rPr>
          <w:sz w:val="20"/>
        </w:rPr>
        <w:sectPr>
          <w:pgSz w:w="15840" w:h="12240" w:orient="landscape"/>
          <w:pgMar w:header="722" w:footer="748" w:top="1620" w:bottom="940" w:left="1300" w:right="1800"/>
        </w:sectPr>
      </w:pPr>
    </w:p>
    <w:p>
      <w:pPr>
        <w:spacing w:line="240" w:lineRule="auto" w:before="5" w:after="1"/>
        <w:rPr>
          <w:sz w:val="2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w w:val="95"/>
                <w:sz w:val="20"/>
              </w:rPr>
              <w:t>Attribute </w:t>
            </w:r>
            <w:r>
              <w:rPr>
                <w:b/>
                <w:sz w:val="20"/>
              </w:rPr>
              <w:t>Name</w:t>
            </w:r>
          </w:p>
        </w:tc>
        <w:tc>
          <w:tcPr>
            <w:tcW w:w="1219" w:type="dxa"/>
          </w:tcPr>
          <w:p>
            <w:pPr>
              <w:pStyle w:val="TableParagraph"/>
              <w:spacing w:before="15"/>
              <w:ind w:left="352" w:right="185" w:hanging="152"/>
              <w:rPr>
                <w:b/>
                <w:sz w:val="20"/>
              </w:rPr>
            </w:pPr>
            <w:r>
              <w:rPr>
                <w:b/>
                <w:sz w:val="20"/>
              </w:rPr>
              <w:t>Attribute Short Name</w:t>
            </w:r>
          </w:p>
        </w:tc>
        <w:tc>
          <w:tcPr>
            <w:tcW w:w="4543" w:type="dxa"/>
          </w:tcPr>
          <w:p>
            <w:pPr>
              <w:pStyle w:val="TableParagraph"/>
              <w:spacing w:before="3"/>
              <w:ind w:left="0"/>
              <w:rPr>
                <w:sz w:val="21"/>
              </w:rPr>
            </w:pPr>
          </w:p>
          <w:p>
            <w:pPr>
              <w:pStyle w:val="TableParagraph"/>
              <w:spacing w:before="1"/>
              <w:ind w:left="1833" w:right="1838" w:firstLine="2"/>
              <w:jc w:val="center"/>
              <w:rPr>
                <w:b/>
                <w:sz w:val="20"/>
              </w:rPr>
            </w:pPr>
            <w:r>
              <w:rPr>
                <w:b/>
                <w:sz w:val="20"/>
              </w:rPr>
              <w:t>Attribute Definition</w:t>
            </w:r>
          </w:p>
        </w:tc>
        <w:tc>
          <w:tcPr>
            <w:tcW w:w="1507" w:type="dxa"/>
          </w:tcPr>
          <w:p>
            <w:pPr>
              <w:pStyle w:val="TableParagraph"/>
              <w:spacing w:before="0"/>
              <w:ind w:left="0"/>
              <w:rPr>
                <w:sz w:val="22"/>
              </w:rPr>
            </w:pPr>
          </w:p>
          <w:p>
            <w:pPr>
              <w:pStyle w:val="TableParagraph"/>
              <w:spacing w:before="1"/>
              <w:ind w:left="0"/>
              <w:rPr>
                <w:sz w:val="19"/>
              </w:rPr>
            </w:pPr>
          </w:p>
          <w:p>
            <w:pPr>
              <w:pStyle w:val="TableParagraph"/>
              <w:spacing w:before="1"/>
              <w:ind w:left="407"/>
              <w:rPr>
                <w:b/>
                <w:sz w:val="20"/>
              </w:rPr>
            </w:pPr>
            <w:r>
              <w:rPr>
                <w:b/>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sz w:val="20"/>
              </w:rPr>
              <w:t>System Characters</w:t>
            </w:r>
          </w:p>
        </w:tc>
        <w:tc>
          <w:tcPr>
            <w:tcW w:w="917" w:type="dxa"/>
          </w:tcPr>
          <w:p>
            <w:pPr>
              <w:pStyle w:val="TableParagraph"/>
              <w:spacing w:before="0"/>
              <w:ind w:left="0"/>
              <w:rPr>
                <w:sz w:val="22"/>
              </w:rPr>
            </w:pPr>
          </w:p>
          <w:p>
            <w:pPr>
              <w:pStyle w:val="TableParagraph"/>
              <w:spacing w:before="1"/>
              <w:ind w:left="0"/>
              <w:rPr>
                <w:sz w:val="19"/>
              </w:rPr>
            </w:pPr>
          </w:p>
          <w:p>
            <w:pPr>
              <w:pStyle w:val="TableParagraph"/>
              <w:spacing w:before="1"/>
              <w:ind w:left="24"/>
              <w:rPr>
                <w:b/>
                <w:sz w:val="20"/>
              </w:rPr>
            </w:pPr>
            <w:r>
              <w:rPr>
                <w:b/>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w w:val="95"/>
                <w:sz w:val="20"/>
              </w:rPr>
              <w:t>Supplied </w:t>
            </w:r>
            <w:r>
              <w:rPr>
                <w:b/>
                <w:sz w:val="20"/>
              </w:rPr>
              <w:t>By</w:t>
            </w:r>
          </w:p>
        </w:tc>
      </w:tr>
      <w:tr>
        <w:trPr>
          <w:trHeight w:val="499" w:hRule="exact"/>
        </w:trPr>
        <w:tc>
          <w:tcPr>
            <w:tcW w:w="2112" w:type="dxa"/>
            <w:tcBorders>
              <w:left w:val="single" w:sz="2" w:space="0" w:color="000000"/>
              <w:bottom w:val="single" w:sz="2" w:space="0" w:color="000000"/>
            </w:tcBorders>
          </w:tcPr>
          <w:p>
            <w:pPr/>
          </w:p>
        </w:tc>
        <w:tc>
          <w:tcPr>
            <w:tcW w:w="1219" w:type="dxa"/>
          </w:tcPr>
          <w:p>
            <w:pPr/>
          </w:p>
        </w:tc>
        <w:tc>
          <w:tcPr>
            <w:tcW w:w="4543" w:type="dxa"/>
            <w:tcBorders>
              <w:bottom w:val="single" w:sz="2" w:space="0" w:color="000000"/>
              <w:right w:val="single" w:sz="2" w:space="0" w:color="000000"/>
            </w:tcBorders>
          </w:tcPr>
          <w:p>
            <w:pPr/>
          </w:p>
        </w:tc>
        <w:tc>
          <w:tcPr>
            <w:tcW w:w="1507" w:type="dxa"/>
            <w:tcBorders>
              <w:left w:val="single" w:sz="2" w:space="0" w:color="000000"/>
              <w:bottom w:val="single" w:sz="2" w:space="0" w:color="000000"/>
              <w:right w:val="single" w:sz="2" w:space="0" w:color="000000"/>
            </w:tcBorders>
          </w:tcPr>
          <w:p>
            <w:pPr>
              <w:pStyle w:val="TableParagraph"/>
              <w:spacing w:before="7"/>
              <w:ind w:right="82"/>
              <w:rPr>
                <w:sz w:val="20"/>
              </w:rPr>
            </w:pPr>
            <w:r>
              <w:rPr>
                <w:sz w:val="20"/>
              </w:rPr>
              <w:t>T - Nonexchange X - Exchange</w:t>
            </w:r>
          </w:p>
        </w:tc>
        <w:tc>
          <w:tcPr>
            <w:tcW w:w="1044" w:type="dxa"/>
            <w:tcBorders>
              <w:left w:val="single" w:sz="2" w:space="0" w:color="000000"/>
              <w:bottom w:val="single" w:sz="2" w:space="0" w:color="000000"/>
              <w:right w:val="single" w:sz="2" w:space="0" w:color="000000"/>
            </w:tcBorders>
          </w:tcPr>
          <w:p>
            <w:pPr/>
          </w:p>
        </w:tc>
        <w:tc>
          <w:tcPr>
            <w:tcW w:w="917" w:type="dxa"/>
            <w:tcBorders>
              <w:left w:val="single" w:sz="2" w:space="0" w:color="000000"/>
              <w:bottom w:val="single" w:sz="2" w:space="0" w:color="000000"/>
              <w:right w:val="single" w:sz="2" w:space="0" w:color="000000"/>
            </w:tcBorders>
          </w:tcPr>
          <w:p>
            <w:pPr/>
          </w:p>
        </w:tc>
        <w:tc>
          <w:tcPr>
            <w:tcW w:w="958" w:type="dxa"/>
            <w:tcBorders>
              <w:left w:val="single" w:sz="2" w:space="0" w:color="000000"/>
              <w:bottom w:val="single" w:sz="2" w:space="0" w:color="000000"/>
              <w:right w:val="single" w:sz="2" w:space="0" w:color="000000"/>
            </w:tcBorders>
          </w:tcPr>
          <w:p>
            <w:pPr/>
          </w:p>
        </w:tc>
      </w:tr>
      <w:tr>
        <w:trPr>
          <w:trHeight w:val="2114" w:hRule="exact"/>
        </w:trPr>
        <w:tc>
          <w:tcPr>
            <w:tcW w:w="2112" w:type="dxa"/>
            <w:tcBorders>
              <w:top w:val="single" w:sz="2" w:space="0" w:color="000000"/>
              <w:left w:val="single" w:sz="2" w:space="0" w:color="000000"/>
              <w:bottom w:val="single" w:sz="2" w:space="0" w:color="000000"/>
            </w:tcBorders>
          </w:tcPr>
          <w:p>
            <w:pPr>
              <w:pStyle w:val="TableParagraph"/>
              <w:spacing w:before="17"/>
              <w:ind w:right="409"/>
              <w:rPr>
                <w:sz w:val="20"/>
              </w:rPr>
            </w:pPr>
            <w:r>
              <w:rPr>
                <w:sz w:val="20"/>
              </w:rPr>
              <w:t>Federal Non-Federal Code</w:t>
            </w:r>
          </w:p>
        </w:tc>
        <w:tc>
          <w:tcPr>
            <w:tcW w:w="1219" w:type="dxa"/>
          </w:tcPr>
          <w:p>
            <w:pPr>
              <w:pStyle w:val="TableParagraph"/>
              <w:spacing w:before="12"/>
              <w:ind w:left="7"/>
              <w:rPr>
                <w:sz w:val="20"/>
              </w:rPr>
            </w:pPr>
            <w:r>
              <w:rPr>
                <w:sz w:val="20"/>
              </w:rPr>
              <w:t>Fed/NonFed</w:t>
            </w:r>
          </w:p>
        </w:tc>
        <w:tc>
          <w:tcPr>
            <w:tcW w:w="4543" w:type="dxa"/>
            <w:tcBorders>
              <w:top w:val="single" w:sz="2" w:space="0" w:color="000000"/>
              <w:bottom w:val="single" w:sz="2" w:space="0" w:color="000000"/>
              <w:right w:val="single" w:sz="2" w:space="0" w:color="000000"/>
            </w:tcBorders>
          </w:tcPr>
          <w:p>
            <w:pPr>
              <w:pStyle w:val="TableParagraph"/>
              <w:spacing w:before="17"/>
              <w:ind w:left="7" w:right="7"/>
              <w:rPr>
                <w:sz w:val="20"/>
              </w:rPr>
            </w:pPr>
            <w:r>
              <w:rPr>
                <w:sz w:val="20"/>
              </w:rPr>
              <w:t>Indicates the type of entity involved in transactions with the reporting entity: other Federal entities (F); non- Federal entities such as private/local/state/tribal/foreign governments (N), exceptions for other non-Federal partners (E), unidentified Federal activity that does not have a trading partner (Z), or General Fund only (G).</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187"/>
              <w:rPr>
                <w:sz w:val="20"/>
              </w:rPr>
            </w:pPr>
            <w:r>
              <w:rPr>
                <w:sz w:val="20"/>
              </w:rPr>
              <w:t>E - Non Federal Exception</w:t>
            </w:r>
          </w:p>
          <w:p>
            <w:pPr>
              <w:pStyle w:val="TableParagraph"/>
              <w:spacing w:before="0"/>
              <w:rPr>
                <w:sz w:val="20"/>
              </w:rPr>
            </w:pPr>
            <w:r>
              <w:rPr>
                <w:sz w:val="20"/>
              </w:rPr>
              <w:t>F - Federal</w:t>
            </w:r>
          </w:p>
          <w:p>
            <w:pPr>
              <w:pStyle w:val="TableParagraph"/>
              <w:spacing w:before="0"/>
              <w:ind w:right="65"/>
              <w:rPr>
                <w:sz w:val="20"/>
              </w:rPr>
            </w:pPr>
            <w:r>
              <w:rPr>
                <w:sz w:val="20"/>
              </w:rPr>
              <w:t>G - General Fund Only</w:t>
            </w:r>
          </w:p>
          <w:p>
            <w:pPr>
              <w:pStyle w:val="TableParagraph"/>
              <w:spacing w:before="0"/>
              <w:ind w:right="165"/>
              <w:rPr>
                <w:sz w:val="20"/>
              </w:rPr>
            </w:pPr>
            <w:r>
              <w:rPr>
                <w:sz w:val="20"/>
              </w:rPr>
              <w:t>N - Non Federal Z - Non- Reciprocating Federal Activity</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SFFAS</w:t>
            </w:r>
          </w:p>
          <w:p>
            <w:pPr>
              <w:pStyle w:val="TableParagraph"/>
              <w:spacing w:before="0"/>
              <w:ind w:left="14"/>
              <w:rPr>
                <w:sz w:val="20"/>
              </w:rPr>
            </w:pPr>
            <w:r>
              <w:rPr>
                <w:sz w:val="20"/>
              </w:rPr>
              <w:t>#7, TFM</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Financing Account Code</w:t>
            </w:r>
          </w:p>
        </w:tc>
        <w:tc>
          <w:tcPr>
            <w:tcW w:w="1219" w:type="dxa"/>
          </w:tcPr>
          <w:p>
            <w:pPr>
              <w:pStyle w:val="TableParagraph"/>
              <w:spacing w:before="15"/>
              <w:ind w:left="7" w:right="28"/>
              <w:rPr>
                <w:sz w:val="20"/>
              </w:rPr>
            </w:pPr>
            <w:r>
              <w:rPr>
                <w:sz w:val="20"/>
              </w:rPr>
              <w:t>Financing Account Code</w:t>
            </w:r>
          </w:p>
        </w:tc>
        <w:tc>
          <w:tcPr>
            <w:tcW w:w="4543" w:type="dxa"/>
            <w:tcBorders>
              <w:top w:val="single" w:sz="2" w:space="0" w:color="000000"/>
              <w:bottom w:val="single" w:sz="2" w:space="0" w:color="000000"/>
              <w:right w:val="single" w:sz="2" w:space="0" w:color="000000"/>
            </w:tcBorders>
          </w:tcPr>
          <w:p>
            <w:pPr>
              <w:pStyle w:val="TableParagraph"/>
              <w:ind w:left="7" w:right="347"/>
              <w:rPr>
                <w:sz w:val="20"/>
              </w:rPr>
            </w:pPr>
            <w:r>
              <w:rPr>
                <w:sz w:val="20"/>
              </w:rPr>
              <w:t>Indicates whether the Federal account symbol is a Direct Loan Financing Account, a Guaranteed Loan Financing Account, or is not a financing account as defined by the Federal Credit Reform Act of 1990.</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line="229" w:lineRule="exact"/>
              <w:rPr>
                <w:sz w:val="20"/>
              </w:rPr>
            </w:pPr>
            <w:r>
              <w:rPr>
                <w:sz w:val="20"/>
              </w:rPr>
              <w:t>D - Direct</w:t>
            </w:r>
          </w:p>
          <w:p>
            <w:pPr>
              <w:pStyle w:val="TableParagraph"/>
              <w:spacing w:before="0"/>
              <w:ind w:right="77"/>
              <w:rPr>
                <w:sz w:val="20"/>
              </w:rPr>
            </w:pPr>
            <w:r>
              <w:rPr>
                <w:sz w:val="20"/>
              </w:rPr>
              <w:t>G - Guaranteed N -</w:t>
            </w:r>
            <w:r>
              <w:rPr>
                <w:spacing w:val="-7"/>
                <w:sz w:val="20"/>
              </w:rPr>
              <w:t> </w:t>
            </w:r>
            <w:r>
              <w:rPr>
                <w:sz w:val="20"/>
              </w:rPr>
              <w:t>Nonfinancing</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line="229" w:lineRule="exact"/>
              <w:ind w:left="14"/>
              <w:rPr>
                <w:sz w:val="20"/>
              </w:rPr>
            </w:pPr>
            <w:r>
              <w:rPr>
                <w:sz w:val="20"/>
              </w:rPr>
              <w:t>SF 133,</w:t>
            </w:r>
          </w:p>
          <w:p>
            <w:pPr>
              <w:pStyle w:val="TableParagraph"/>
              <w:spacing w:before="0"/>
              <w:ind w:left="14" w:right="73"/>
              <w:rPr>
                <w:sz w:val="20"/>
              </w:rPr>
            </w:pPr>
            <w:r>
              <w:rPr>
                <w:sz w:val="20"/>
              </w:rPr>
              <w:t>Schedule P</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TAS</w:t>
            </w:r>
          </w:p>
        </w:tc>
      </w:tr>
      <w:tr>
        <w:trPr>
          <w:trHeight w:val="4416"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GTAS Fund Type Code</w:t>
            </w:r>
          </w:p>
        </w:tc>
        <w:tc>
          <w:tcPr>
            <w:tcW w:w="1219" w:type="dxa"/>
          </w:tcPr>
          <w:p>
            <w:pPr>
              <w:pStyle w:val="TableParagraph"/>
              <w:spacing w:before="15"/>
              <w:ind w:left="7"/>
              <w:rPr>
                <w:sz w:val="20"/>
              </w:rPr>
            </w:pPr>
            <w:r>
              <w:rPr>
                <w:sz w:val="20"/>
              </w:rPr>
              <w:t>Fund Type</w:t>
            </w:r>
          </w:p>
        </w:tc>
        <w:tc>
          <w:tcPr>
            <w:tcW w:w="4543" w:type="dxa"/>
            <w:tcBorders>
              <w:top w:val="single" w:sz="2" w:space="0" w:color="000000"/>
              <w:bottom w:val="single" w:sz="2" w:space="0" w:color="000000"/>
              <w:right w:val="single" w:sz="2" w:space="0" w:color="000000"/>
            </w:tcBorders>
          </w:tcPr>
          <w:p>
            <w:pPr>
              <w:pStyle w:val="TableParagraph"/>
              <w:ind w:left="7"/>
              <w:rPr>
                <w:sz w:val="20"/>
              </w:rPr>
            </w:pPr>
            <w:r>
              <w:rPr>
                <w:sz w:val="20"/>
              </w:rPr>
              <w:t>A classification established in law that describes an OMB account's relationship to the Government, and the source of the receipts that the account is provided. The first digit (and sometimes second digit, as well) of the Treasury Account Main Code is also used to designate General Fund category (ITFM 2-1500).</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98"/>
              <w:rPr>
                <w:sz w:val="20"/>
              </w:rPr>
            </w:pPr>
            <w:r>
              <w:rPr>
                <w:sz w:val="20"/>
              </w:rPr>
              <w:t>CF - Clearing Account (F3500- F3885)</w:t>
            </w:r>
          </w:p>
          <w:p>
            <w:pPr>
              <w:pStyle w:val="TableParagraph"/>
              <w:spacing w:before="0"/>
              <w:ind w:right="425"/>
              <w:rPr>
                <w:sz w:val="20"/>
              </w:rPr>
            </w:pPr>
            <w:r>
              <w:rPr>
                <w:sz w:val="20"/>
              </w:rPr>
              <w:t>DF - Deposit Fund. (6000-</w:t>
            </w:r>
          </w:p>
          <w:p>
            <w:pPr>
              <w:pStyle w:val="TableParagraph"/>
              <w:spacing w:before="0"/>
              <w:rPr>
                <w:sz w:val="20"/>
              </w:rPr>
            </w:pPr>
            <w:r>
              <w:rPr>
                <w:sz w:val="20"/>
              </w:rPr>
              <w:t>6999)</w:t>
            </w:r>
          </w:p>
          <w:p>
            <w:pPr>
              <w:pStyle w:val="TableParagraph"/>
              <w:spacing w:before="0"/>
              <w:ind w:right="6"/>
              <w:rPr>
                <w:sz w:val="20"/>
              </w:rPr>
            </w:pPr>
            <w:r>
              <w:rPr>
                <w:sz w:val="20"/>
              </w:rPr>
              <w:t>EC - Consolidated Working Fund (3900-3959)</w:t>
            </w:r>
          </w:p>
          <w:p>
            <w:pPr>
              <w:pStyle w:val="TableParagraph"/>
              <w:spacing w:before="0"/>
              <w:ind w:right="13"/>
              <w:rPr>
                <w:sz w:val="20"/>
              </w:rPr>
            </w:pPr>
            <w:r>
              <w:rPr>
                <w:sz w:val="20"/>
              </w:rPr>
              <w:t>EG - General Fund (0000-3899) EM -</w:t>
            </w:r>
          </w:p>
          <w:p>
            <w:pPr>
              <w:pStyle w:val="TableParagraph"/>
              <w:spacing w:before="0"/>
              <w:ind w:right="24"/>
              <w:rPr>
                <w:sz w:val="20"/>
              </w:rPr>
            </w:pPr>
            <w:r>
              <w:rPr>
                <w:sz w:val="20"/>
              </w:rPr>
              <w:t>Management Fund</w:t>
            </w:r>
            <w:r>
              <w:rPr>
                <w:spacing w:val="-3"/>
                <w:sz w:val="20"/>
              </w:rPr>
              <w:t> </w:t>
            </w:r>
            <w:r>
              <w:rPr>
                <w:sz w:val="20"/>
              </w:rPr>
              <w:t>(3960-3999)</w:t>
            </w:r>
          </w:p>
          <w:p>
            <w:pPr>
              <w:pStyle w:val="TableParagraph"/>
              <w:spacing w:before="0"/>
              <w:ind w:right="117"/>
              <w:rPr>
                <w:sz w:val="20"/>
              </w:rPr>
            </w:pPr>
            <w:r>
              <w:rPr>
                <w:sz w:val="20"/>
              </w:rPr>
              <w:t>EP - Public Enterprise Revolving Funds (4000-4499)</w:t>
            </w:r>
          </w:p>
          <w:p>
            <w:pPr>
              <w:pStyle w:val="TableParagraph"/>
              <w:spacing w:line="228" w:lineRule="exact" w:before="0"/>
              <w:rPr>
                <w:sz w:val="20"/>
              </w:rPr>
            </w:pPr>
            <w:r>
              <w:rPr>
                <w:sz w:val="20"/>
              </w:rPr>
              <w:t>ER -</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2/A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line="229" w:lineRule="exact"/>
              <w:ind w:left="14"/>
              <w:rPr>
                <w:sz w:val="20"/>
              </w:rPr>
            </w:pPr>
            <w:r>
              <w:rPr>
                <w:sz w:val="20"/>
              </w:rPr>
              <w:t>FAST</w:t>
            </w:r>
          </w:p>
          <w:p>
            <w:pPr>
              <w:pStyle w:val="TableParagraph"/>
              <w:spacing w:line="229" w:lineRule="exact" w:before="0"/>
              <w:ind w:left="14"/>
              <w:rPr>
                <w:sz w:val="20"/>
              </w:rPr>
            </w:pPr>
            <w:r>
              <w:rPr>
                <w:sz w:val="20"/>
              </w:rPr>
              <w:t>Book</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TAS</w:t>
            </w:r>
          </w:p>
        </w:tc>
      </w:tr>
    </w:tbl>
    <w:p>
      <w:pPr>
        <w:spacing w:after="0"/>
        <w:rPr>
          <w:sz w:val="20"/>
        </w:rPr>
        <w:sectPr>
          <w:pgSz w:w="15840" w:h="12240" w:orient="landscape"/>
          <w:pgMar w:header="722" w:footer="748" w:top="1620" w:bottom="940" w:left="1300" w:right="1800"/>
        </w:sectPr>
      </w:pPr>
    </w:p>
    <w:p>
      <w:pPr>
        <w:spacing w:line="240" w:lineRule="auto" w:before="5" w:after="1"/>
        <w:rPr>
          <w:sz w:val="2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w w:val="95"/>
                <w:sz w:val="20"/>
              </w:rPr>
              <w:t>Attribute </w:t>
            </w:r>
            <w:r>
              <w:rPr>
                <w:b/>
                <w:sz w:val="20"/>
              </w:rPr>
              <w:t>Name</w:t>
            </w:r>
          </w:p>
        </w:tc>
        <w:tc>
          <w:tcPr>
            <w:tcW w:w="1219" w:type="dxa"/>
          </w:tcPr>
          <w:p>
            <w:pPr>
              <w:pStyle w:val="TableParagraph"/>
              <w:spacing w:before="15"/>
              <w:ind w:left="352" w:right="185" w:hanging="152"/>
              <w:rPr>
                <w:b/>
                <w:sz w:val="20"/>
              </w:rPr>
            </w:pPr>
            <w:r>
              <w:rPr>
                <w:b/>
                <w:sz w:val="20"/>
              </w:rPr>
              <w:t>Attribute Short Name</w:t>
            </w:r>
          </w:p>
        </w:tc>
        <w:tc>
          <w:tcPr>
            <w:tcW w:w="4543" w:type="dxa"/>
          </w:tcPr>
          <w:p>
            <w:pPr>
              <w:pStyle w:val="TableParagraph"/>
              <w:spacing w:before="3"/>
              <w:ind w:left="0"/>
              <w:rPr>
                <w:sz w:val="21"/>
              </w:rPr>
            </w:pPr>
          </w:p>
          <w:p>
            <w:pPr>
              <w:pStyle w:val="TableParagraph"/>
              <w:spacing w:before="1"/>
              <w:ind w:left="1833" w:right="1838" w:firstLine="2"/>
              <w:jc w:val="center"/>
              <w:rPr>
                <w:b/>
                <w:sz w:val="20"/>
              </w:rPr>
            </w:pPr>
            <w:r>
              <w:rPr>
                <w:b/>
                <w:sz w:val="20"/>
              </w:rPr>
              <w:t>Attribute Definition</w:t>
            </w:r>
          </w:p>
        </w:tc>
        <w:tc>
          <w:tcPr>
            <w:tcW w:w="1507" w:type="dxa"/>
          </w:tcPr>
          <w:p>
            <w:pPr>
              <w:pStyle w:val="TableParagraph"/>
              <w:spacing w:before="0"/>
              <w:ind w:left="0"/>
              <w:rPr>
                <w:sz w:val="22"/>
              </w:rPr>
            </w:pPr>
          </w:p>
          <w:p>
            <w:pPr>
              <w:pStyle w:val="TableParagraph"/>
              <w:spacing w:before="1"/>
              <w:ind w:left="0"/>
              <w:rPr>
                <w:sz w:val="19"/>
              </w:rPr>
            </w:pPr>
          </w:p>
          <w:p>
            <w:pPr>
              <w:pStyle w:val="TableParagraph"/>
              <w:spacing w:before="1"/>
              <w:ind w:left="407"/>
              <w:rPr>
                <w:b/>
                <w:sz w:val="20"/>
              </w:rPr>
            </w:pPr>
            <w:r>
              <w:rPr>
                <w:b/>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sz w:val="20"/>
              </w:rPr>
              <w:t>System Characters</w:t>
            </w:r>
          </w:p>
        </w:tc>
        <w:tc>
          <w:tcPr>
            <w:tcW w:w="917" w:type="dxa"/>
          </w:tcPr>
          <w:p>
            <w:pPr>
              <w:pStyle w:val="TableParagraph"/>
              <w:spacing w:before="0"/>
              <w:ind w:left="0"/>
              <w:rPr>
                <w:sz w:val="22"/>
              </w:rPr>
            </w:pPr>
          </w:p>
          <w:p>
            <w:pPr>
              <w:pStyle w:val="TableParagraph"/>
              <w:spacing w:before="1"/>
              <w:ind w:left="0"/>
              <w:rPr>
                <w:sz w:val="19"/>
              </w:rPr>
            </w:pPr>
          </w:p>
          <w:p>
            <w:pPr>
              <w:pStyle w:val="TableParagraph"/>
              <w:spacing w:before="1"/>
              <w:ind w:left="24"/>
              <w:rPr>
                <w:b/>
                <w:sz w:val="20"/>
              </w:rPr>
            </w:pPr>
            <w:r>
              <w:rPr>
                <w:b/>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w w:val="95"/>
                <w:sz w:val="20"/>
              </w:rPr>
              <w:t>Supplied </w:t>
            </w:r>
            <w:r>
              <w:rPr>
                <w:b/>
                <w:sz w:val="20"/>
              </w:rPr>
              <w:t>By</w:t>
            </w:r>
          </w:p>
        </w:tc>
      </w:tr>
      <w:tr>
        <w:trPr>
          <w:trHeight w:val="7860" w:hRule="exact"/>
        </w:trPr>
        <w:tc>
          <w:tcPr>
            <w:tcW w:w="2112" w:type="dxa"/>
            <w:tcBorders>
              <w:left w:val="single" w:sz="2" w:space="0" w:color="000000"/>
              <w:bottom w:val="single" w:sz="2" w:space="0" w:color="000000"/>
            </w:tcBorders>
          </w:tcPr>
          <w:p>
            <w:pPr/>
          </w:p>
        </w:tc>
        <w:tc>
          <w:tcPr>
            <w:tcW w:w="1219" w:type="dxa"/>
          </w:tcPr>
          <w:p>
            <w:pPr/>
          </w:p>
        </w:tc>
        <w:tc>
          <w:tcPr>
            <w:tcW w:w="4543" w:type="dxa"/>
            <w:tcBorders>
              <w:bottom w:val="single" w:sz="2" w:space="0" w:color="000000"/>
              <w:right w:val="single" w:sz="2" w:space="0" w:color="000000"/>
            </w:tcBorders>
          </w:tcPr>
          <w:p>
            <w:pPr/>
          </w:p>
        </w:tc>
        <w:tc>
          <w:tcPr>
            <w:tcW w:w="1507" w:type="dxa"/>
            <w:tcBorders>
              <w:left w:val="single" w:sz="2" w:space="0" w:color="000000"/>
              <w:bottom w:val="single" w:sz="2" w:space="0" w:color="000000"/>
              <w:right w:val="single" w:sz="2" w:space="0" w:color="000000"/>
            </w:tcBorders>
          </w:tcPr>
          <w:p>
            <w:pPr>
              <w:pStyle w:val="TableParagraph"/>
              <w:spacing w:before="7"/>
              <w:ind w:right="12"/>
              <w:rPr>
                <w:sz w:val="20"/>
              </w:rPr>
            </w:pPr>
            <w:r>
              <w:rPr>
                <w:w w:val="95"/>
                <w:sz w:val="20"/>
              </w:rPr>
              <w:t>Intragovernmental </w:t>
            </w:r>
            <w:r>
              <w:rPr>
                <w:sz w:val="20"/>
              </w:rPr>
              <w:t>Revolving Funds (4500-4999)</w:t>
            </w:r>
          </w:p>
          <w:p>
            <w:pPr>
              <w:pStyle w:val="TableParagraph"/>
              <w:spacing w:before="0"/>
              <w:ind w:right="39"/>
              <w:rPr>
                <w:sz w:val="20"/>
              </w:rPr>
            </w:pPr>
            <w:r>
              <w:rPr>
                <w:sz w:val="20"/>
              </w:rPr>
              <w:t>ES - Special Fund (5000-5999)</w:t>
            </w:r>
          </w:p>
          <w:p>
            <w:pPr>
              <w:pStyle w:val="TableParagraph"/>
              <w:spacing w:before="3"/>
              <w:ind w:right="195"/>
              <w:rPr>
                <w:sz w:val="20"/>
              </w:rPr>
            </w:pPr>
            <w:r>
              <w:rPr>
                <w:sz w:val="20"/>
              </w:rPr>
              <w:t>ET - Trust Non- revolving Fund (8000-8399 &amp;</w:t>
            </w:r>
          </w:p>
          <w:p>
            <w:pPr>
              <w:pStyle w:val="TableParagraph"/>
              <w:spacing w:line="229" w:lineRule="exact" w:before="0"/>
              <w:rPr>
                <w:sz w:val="20"/>
              </w:rPr>
            </w:pPr>
            <w:r>
              <w:rPr>
                <w:sz w:val="20"/>
              </w:rPr>
              <w:t>8500-8999)</w:t>
            </w:r>
          </w:p>
          <w:p>
            <w:pPr>
              <w:pStyle w:val="TableParagraph"/>
              <w:spacing w:before="0"/>
              <w:ind w:right="231"/>
              <w:rPr>
                <w:sz w:val="20"/>
              </w:rPr>
            </w:pPr>
            <w:r>
              <w:rPr>
                <w:sz w:val="20"/>
              </w:rPr>
              <w:t>GA - General Fund Authority MR -</w:t>
            </w:r>
          </w:p>
          <w:p>
            <w:pPr>
              <w:pStyle w:val="TableParagraph"/>
              <w:spacing w:before="1"/>
              <w:ind w:right="198"/>
              <w:rPr>
                <w:sz w:val="20"/>
              </w:rPr>
            </w:pPr>
            <w:r>
              <w:rPr>
                <w:sz w:val="20"/>
              </w:rPr>
              <w:t>Miscellaneous Unavailable Receipts (9500-</w:t>
            </w:r>
          </w:p>
          <w:p>
            <w:pPr>
              <w:pStyle w:val="TableParagraph"/>
              <w:spacing w:line="228" w:lineRule="exact" w:before="0"/>
              <w:rPr>
                <w:sz w:val="20"/>
              </w:rPr>
            </w:pPr>
            <w:r>
              <w:rPr>
                <w:sz w:val="20"/>
              </w:rPr>
              <w:t>9550)</w:t>
            </w:r>
          </w:p>
          <w:p>
            <w:pPr>
              <w:pStyle w:val="TableParagraph"/>
              <w:spacing w:before="1"/>
              <w:ind w:right="105"/>
              <w:rPr>
                <w:sz w:val="20"/>
              </w:rPr>
            </w:pPr>
            <w:r>
              <w:rPr>
                <w:sz w:val="20"/>
              </w:rPr>
              <w:t>TR - Trust Revolving Fund (8400- 8499)&lt;BR&gt;UG -</w:t>
            </w:r>
          </w:p>
          <w:p>
            <w:pPr>
              <w:pStyle w:val="TableParagraph"/>
              <w:spacing w:before="0"/>
              <w:ind w:right="276"/>
              <w:rPr>
                <w:sz w:val="20"/>
              </w:rPr>
            </w:pPr>
            <w:r>
              <w:rPr>
                <w:sz w:val="20"/>
              </w:rPr>
              <w:t>Unavailable General Fund Receipt (0000-</w:t>
            </w:r>
          </w:p>
          <w:p>
            <w:pPr>
              <w:pStyle w:val="TableParagraph"/>
              <w:spacing w:before="0"/>
              <w:rPr>
                <w:sz w:val="20"/>
              </w:rPr>
            </w:pPr>
            <w:r>
              <w:rPr>
                <w:sz w:val="20"/>
              </w:rPr>
              <w:t>3499)</w:t>
            </w:r>
          </w:p>
          <w:p>
            <w:pPr>
              <w:pStyle w:val="TableParagraph"/>
              <w:spacing w:before="0"/>
              <w:ind w:right="81"/>
              <w:rPr>
                <w:sz w:val="20"/>
              </w:rPr>
            </w:pPr>
            <w:r>
              <w:rPr>
                <w:sz w:val="20"/>
              </w:rPr>
              <w:t>US - Unavailable Special Fund Receipt (5000-</w:t>
            </w:r>
          </w:p>
          <w:p>
            <w:pPr>
              <w:pStyle w:val="TableParagraph"/>
              <w:spacing w:before="0"/>
              <w:rPr>
                <w:sz w:val="20"/>
              </w:rPr>
            </w:pPr>
            <w:r>
              <w:rPr>
                <w:sz w:val="20"/>
              </w:rPr>
              <w:t>5999)</w:t>
            </w:r>
          </w:p>
          <w:p>
            <w:pPr>
              <w:pStyle w:val="TableParagraph"/>
              <w:spacing w:before="0"/>
              <w:ind w:right="71"/>
              <w:rPr>
                <w:sz w:val="20"/>
              </w:rPr>
            </w:pPr>
            <w:r>
              <w:rPr>
                <w:sz w:val="20"/>
              </w:rPr>
              <w:t>UT - Unavailable Trust Non- Revolving Fund Receipt (8000-</w:t>
            </w:r>
          </w:p>
          <w:p>
            <w:pPr>
              <w:pStyle w:val="TableParagraph"/>
              <w:spacing w:line="228" w:lineRule="exact" w:before="0"/>
              <w:rPr>
                <w:sz w:val="20"/>
              </w:rPr>
            </w:pPr>
            <w:r>
              <w:rPr>
                <w:sz w:val="20"/>
              </w:rPr>
              <w:t>8399 &amp; 8500-</w:t>
            </w:r>
          </w:p>
          <w:p>
            <w:pPr>
              <w:pStyle w:val="TableParagraph"/>
              <w:spacing w:before="0"/>
              <w:rPr>
                <w:sz w:val="20"/>
              </w:rPr>
            </w:pPr>
            <w:r>
              <w:rPr>
                <w:sz w:val="20"/>
              </w:rPr>
              <w:t>8999)</w:t>
            </w:r>
          </w:p>
        </w:tc>
        <w:tc>
          <w:tcPr>
            <w:tcW w:w="1044" w:type="dxa"/>
            <w:tcBorders>
              <w:left w:val="single" w:sz="2" w:space="0" w:color="000000"/>
              <w:bottom w:val="single" w:sz="2" w:space="0" w:color="000000"/>
              <w:right w:val="single" w:sz="2" w:space="0" w:color="000000"/>
            </w:tcBorders>
          </w:tcPr>
          <w:p>
            <w:pPr/>
          </w:p>
        </w:tc>
        <w:tc>
          <w:tcPr>
            <w:tcW w:w="917" w:type="dxa"/>
            <w:tcBorders>
              <w:left w:val="single" w:sz="2" w:space="0" w:color="000000"/>
              <w:bottom w:val="single" w:sz="2" w:space="0" w:color="000000"/>
              <w:right w:val="single" w:sz="2" w:space="0" w:color="000000"/>
            </w:tcBorders>
          </w:tcPr>
          <w:p>
            <w:pPr/>
          </w:p>
        </w:tc>
        <w:tc>
          <w:tcPr>
            <w:tcW w:w="958" w:type="dxa"/>
            <w:tcBorders>
              <w:left w:val="single" w:sz="2" w:space="0" w:color="000000"/>
              <w:bottom w:val="single" w:sz="2" w:space="0" w:color="000000"/>
              <w:right w:val="single" w:sz="2" w:space="0" w:color="000000"/>
            </w:tcBorders>
          </w:tcPr>
          <w:p>
            <w:pPr/>
          </w:p>
        </w:tc>
      </w:tr>
    </w:tbl>
    <w:p>
      <w:pPr>
        <w:spacing w:after="0"/>
        <w:sectPr>
          <w:pgSz w:w="15840" w:h="12240" w:orient="landscape"/>
          <w:pgMar w:header="722" w:footer="748" w:top="1620" w:bottom="940" w:left="1300" w:right="1800"/>
        </w:sectPr>
      </w:pPr>
    </w:p>
    <w:p>
      <w:pPr>
        <w:spacing w:line="240" w:lineRule="auto" w:before="5" w:after="1"/>
        <w:rPr>
          <w:sz w:val="2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w w:val="95"/>
                <w:sz w:val="20"/>
              </w:rPr>
              <w:t>Attribute </w:t>
            </w:r>
            <w:r>
              <w:rPr>
                <w:b/>
                <w:sz w:val="20"/>
              </w:rPr>
              <w:t>Name</w:t>
            </w:r>
          </w:p>
        </w:tc>
        <w:tc>
          <w:tcPr>
            <w:tcW w:w="1219" w:type="dxa"/>
          </w:tcPr>
          <w:p>
            <w:pPr>
              <w:pStyle w:val="TableParagraph"/>
              <w:spacing w:before="15"/>
              <w:ind w:left="352" w:right="185" w:hanging="152"/>
              <w:rPr>
                <w:b/>
                <w:sz w:val="20"/>
              </w:rPr>
            </w:pPr>
            <w:r>
              <w:rPr>
                <w:b/>
                <w:sz w:val="20"/>
              </w:rPr>
              <w:t>Attribute Short Name</w:t>
            </w:r>
          </w:p>
        </w:tc>
        <w:tc>
          <w:tcPr>
            <w:tcW w:w="4543" w:type="dxa"/>
          </w:tcPr>
          <w:p>
            <w:pPr>
              <w:pStyle w:val="TableParagraph"/>
              <w:spacing w:before="3"/>
              <w:ind w:left="0"/>
              <w:rPr>
                <w:sz w:val="21"/>
              </w:rPr>
            </w:pPr>
          </w:p>
          <w:p>
            <w:pPr>
              <w:pStyle w:val="TableParagraph"/>
              <w:spacing w:before="1"/>
              <w:ind w:left="1833" w:right="1838" w:firstLine="2"/>
              <w:jc w:val="center"/>
              <w:rPr>
                <w:b/>
                <w:sz w:val="20"/>
              </w:rPr>
            </w:pPr>
            <w:r>
              <w:rPr>
                <w:b/>
                <w:sz w:val="20"/>
              </w:rPr>
              <w:t>Attribute Definition</w:t>
            </w:r>
          </w:p>
        </w:tc>
        <w:tc>
          <w:tcPr>
            <w:tcW w:w="1507" w:type="dxa"/>
          </w:tcPr>
          <w:p>
            <w:pPr>
              <w:pStyle w:val="TableParagraph"/>
              <w:spacing w:before="0"/>
              <w:ind w:left="0"/>
              <w:rPr>
                <w:sz w:val="22"/>
              </w:rPr>
            </w:pPr>
          </w:p>
          <w:p>
            <w:pPr>
              <w:pStyle w:val="TableParagraph"/>
              <w:spacing w:before="1"/>
              <w:ind w:left="0"/>
              <w:rPr>
                <w:sz w:val="19"/>
              </w:rPr>
            </w:pPr>
          </w:p>
          <w:p>
            <w:pPr>
              <w:pStyle w:val="TableParagraph"/>
              <w:spacing w:before="1"/>
              <w:ind w:left="407"/>
              <w:rPr>
                <w:b/>
                <w:sz w:val="20"/>
              </w:rPr>
            </w:pPr>
            <w:r>
              <w:rPr>
                <w:b/>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sz w:val="20"/>
              </w:rPr>
              <w:t>System Characters</w:t>
            </w:r>
          </w:p>
        </w:tc>
        <w:tc>
          <w:tcPr>
            <w:tcW w:w="917" w:type="dxa"/>
          </w:tcPr>
          <w:p>
            <w:pPr>
              <w:pStyle w:val="TableParagraph"/>
              <w:spacing w:before="0"/>
              <w:ind w:left="0"/>
              <w:rPr>
                <w:sz w:val="22"/>
              </w:rPr>
            </w:pPr>
          </w:p>
          <w:p>
            <w:pPr>
              <w:pStyle w:val="TableParagraph"/>
              <w:spacing w:before="1"/>
              <w:ind w:left="0"/>
              <w:rPr>
                <w:sz w:val="19"/>
              </w:rPr>
            </w:pPr>
          </w:p>
          <w:p>
            <w:pPr>
              <w:pStyle w:val="TableParagraph"/>
              <w:spacing w:before="1"/>
              <w:ind w:left="24"/>
              <w:rPr>
                <w:b/>
                <w:sz w:val="20"/>
              </w:rPr>
            </w:pPr>
            <w:r>
              <w:rPr>
                <w:b/>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w w:val="95"/>
                <w:sz w:val="20"/>
              </w:rPr>
              <w:t>Supplied </w:t>
            </w:r>
            <w:r>
              <w:rPr>
                <w:b/>
                <w:sz w:val="20"/>
              </w:rPr>
              <w:t>By</w:t>
            </w:r>
          </w:p>
        </w:tc>
      </w:tr>
      <w:tr>
        <w:trPr>
          <w:trHeight w:val="730" w:hRule="exact"/>
        </w:trPr>
        <w:tc>
          <w:tcPr>
            <w:tcW w:w="2112" w:type="dxa"/>
            <w:tcBorders>
              <w:left w:val="single" w:sz="2" w:space="0" w:color="000000"/>
              <w:bottom w:val="single" w:sz="2" w:space="0" w:color="000000"/>
            </w:tcBorders>
          </w:tcPr>
          <w:p>
            <w:pPr>
              <w:pStyle w:val="TableParagraph"/>
              <w:spacing w:before="7"/>
              <w:rPr>
                <w:sz w:val="20"/>
              </w:rPr>
            </w:pPr>
            <w:r>
              <w:rPr>
                <w:sz w:val="20"/>
              </w:rPr>
              <w:t>Normal Balance Indicator</w:t>
            </w:r>
          </w:p>
        </w:tc>
        <w:tc>
          <w:tcPr>
            <w:tcW w:w="1219" w:type="dxa"/>
          </w:tcPr>
          <w:p>
            <w:pPr>
              <w:pStyle w:val="TableParagraph"/>
              <w:spacing w:before="7"/>
              <w:ind w:left="7"/>
              <w:rPr>
                <w:sz w:val="20"/>
              </w:rPr>
            </w:pPr>
            <w:r>
              <w:rPr>
                <w:sz w:val="20"/>
              </w:rPr>
              <w:t>Norm Bal</w:t>
            </w:r>
          </w:p>
        </w:tc>
        <w:tc>
          <w:tcPr>
            <w:tcW w:w="4543" w:type="dxa"/>
            <w:tcBorders>
              <w:bottom w:val="single" w:sz="2" w:space="0" w:color="000000"/>
              <w:right w:val="single" w:sz="2" w:space="0" w:color="000000"/>
            </w:tcBorders>
          </w:tcPr>
          <w:p>
            <w:pPr>
              <w:pStyle w:val="TableParagraph"/>
              <w:spacing w:before="7"/>
              <w:ind w:left="7" w:right="63"/>
              <w:rPr>
                <w:sz w:val="20"/>
              </w:rPr>
            </w:pPr>
            <w:r>
              <w:rPr>
                <w:sz w:val="20"/>
              </w:rPr>
              <w:t>Normal condition of the balance in an USSGL account (debit or credit).</w:t>
            </w:r>
          </w:p>
        </w:tc>
        <w:tc>
          <w:tcPr>
            <w:tcW w:w="1507" w:type="dxa"/>
            <w:tcBorders>
              <w:left w:val="single" w:sz="2" w:space="0" w:color="000000"/>
              <w:bottom w:val="single" w:sz="2" w:space="0" w:color="000000"/>
              <w:right w:val="single" w:sz="2" w:space="0" w:color="000000"/>
            </w:tcBorders>
          </w:tcPr>
          <w:p>
            <w:pPr>
              <w:pStyle w:val="TableParagraph"/>
              <w:spacing w:before="7"/>
              <w:ind w:right="670"/>
              <w:rPr>
                <w:sz w:val="20"/>
              </w:rPr>
            </w:pPr>
            <w:r>
              <w:rPr>
                <w:sz w:val="20"/>
              </w:rPr>
              <w:t>C - Credit D - Debit</w:t>
            </w:r>
          </w:p>
        </w:tc>
        <w:tc>
          <w:tcPr>
            <w:tcW w:w="1044" w:type="dxa"/>
            <w:tcBorders>
              <w:left w:val="single" w:sz="2" w:space="0" w:color="000000"/>
              <w:bottom w:val="single" w:sz="2" w:space="0" w:color="000000"/>
              <w:right w:val="single" w:sz="2" w:space="0" w:color="000000"/>
            </w:tcBorders>
          </w:tcPr>
          <w:p>
            <w:pPr>
              <w:pStyle w:val="TableParagraph"/>
              <w:spacing w:before="7"/>
              <w:ind w:left="14"/>
              <w:rPr>
                <w:sz w:val="20"/>
              </w:rPr>
            </w:pPr>
            <w:r>
              <w:rPr>
                <w:sz w:val="20"/>
              </w:rPr>
              <w:t>1/A</w:t>
            </w:r>
          </w:p>
        </w:tc>
        <w:tc>
          <w:tcPr>
            <w:tcW w:w="917" w:type="dxa"/>
            <w:tcBorders>
              <w:left w:val="single" w:sz="2" w:space="0" w:color="000000"/>
              <w:bottom w:val="single" w:sz="2" w:space="0" w:color="000000"/>
              <w:right w:val="single" w:sz="2" w:space="0" w:color="000000"/>
            </w:tcBorders>
          </w:tcPr>
          <w:p>
            <w:pPr>
              <w:pStyle w:val="TableParagraph"/>
              <w:spacing w:before="7"/>
              <w:ind w:left="14"/>
              <w:rPr>
                <w:sz w:val="20"/>
              </w:rPr>
            </w:pPr>
            <w:r>
              <w:rPr>
                <w:sz w:val="20"/>
              </w:rPr>
              <w:t>SF 133,</w:t>
            </w:r>
          </w:p>
          <w:p>
            <w:pPr>
              <w:pStyle w:val="TableParagraph"/>
              <w:spacing w:before="0"/>
              <w:ind w:left="14" w:right="73"/>
              <w:rPr>
                <w:sz w:val="20"/>
              </w:rPr>
            </w:pPr>
            <w:r>
              <w:rPr>
                <w:sz w:val="20"/>
              </w:rPr>
              <w:t>Schedule P</w:t>
            </w:r>
          </w:p>
        </w:tc>
        <w:tc>
          <w:tcPr>
            <w:tcW w:w="958" w:type="dxa"/>
            <w:tcBorders>
              <w:left w:val="single" w:sz="2" w:space="0" w:color="000000"/>
              <w:bottom w:val="single" w:sz="2" w:space="0" w:color="000000"/>
              <w:right w:val="single" w:sz="2" w:space="0" w:color="000000"/>
            </w:tcBorders>
          </w:tcPr>
          <w:p>
            <w:pPr>
              <w:pStyle w:val="TableParagraph"/>
              <w:spacing w:before="7"/>
              <w:rPr>
                <w:sz w:val="20"/>
              </w:rPr>
            </w:pPr>
            <w:r>
              <w:rPr>
                <w:sz w:val="20"/>
              </w:rPr>
              <w:t>USSGL</w:t>
            </w:r>
          </w:p>
        </w:tc>
      </w:tr>
      <w:tr>
        <w:trPr>
          <w:trHeight w:val="4183" w:hRule="exact"/>
        </w:trPr>
        <w:tc>
          <w:tcPr>
            <w:tcW w:w="2112" w:type="dxa"/>
            <w:tcBorders>
              <w:top w:val="single" w:sz="2" w:space="0" w:color="000000"/>
              <w:left w:val="single" w:sz="2" w:space="0" w:color="000000"/>
              <w:bottom w:val="single" w:sz="2" w:space="0" w:color="000000"/>
            </w:tcBorders>
          </w:tcPr>
          <w:p>
            <w:pPr>
              <w:pStyle w:val="TableParagraph"/>
              <w:spacing w:before="17"/>
              <w:rPr>
                <w:sz w:val="20"/>
              </w:rPr>
            </w:pPr>
            <w:r>
              <w:rPr>
                <w:sz w:val="20"/>
              </w:rPr>
              <w:t>Prior Year Adjustment Code</w:t>
            </w:r>
          </w:p>
        </w:tc>
        <w:tc>
          <w:tcPr>
            <w:tcW w:w="1219" w:type="dxa"/>
          </w:tcPr>
          <w:p>
            <w:pPr>
              <w:pStyle w:val="TableParagraph"/>
              <w:spacing w:before="12"/>
              <w:ind w:left="7"/>
              <w:rPr>
                <w:sz w:val="20"/>
              </w:rPr>
            </w:pPr>
            <w:r>
              <w:rPr>
                <w:sz w:val="20"/>
              </w:rPr>
              <w:t>PY Adj</w:t>
            </w:r>
          </w:p>
        </w:tc>
        <w:tc>
          <w:tcPr>
            <w:tcW w:w="4543" w:type="dxa"/>
            <w:tcBorders>
              <w:top w:val="single" w:sz="2" w:space="0" w:color="000000"/>
              <w:bottom w:val="single" w:sz="2" w:space="0" w:color="000000"/>
              <w:right w:val="single" w:sz="2" w:space="0" w:color="000000"/>
            </w:tcBorders>
          </w:tcPr>
          <w:p>
            <w:pPr>
              <w:pStyle w:val="TableParagraph"/>
              <w:spacing w:before="17"/>
              <w:ind w:left="7" w:right="19"/>
              <w:rPr>
                <w:sz w:val="20"/>
              </w:rPr>
            </w:pPr>
            <w:r>
              <w:rPr>
                <w:sz w:val="20"/>
              </w:rPr>
              <w:t>Changes to obligated or unobligated balances that occurred in the previous fiscal year but were not recorded in the appropriate TAFS as of October 1 of the current fiscal year. Exclude upward and downward adjustments to current-year/prior-year obligations and most reclassifications from clearing accounts.</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spacing w:before="17"/>
              <w:ind w:right="52"/>
              <w:rPr>
                <w:sz w:val="20"/>
              </w:rPr>
            </w:pPr>
            <w:r>
              <w:rPr>
                <w:sz w:val="20"/>
              </w:rPr>
              <w:t>B - Adjustment</w:t>
            </w:r>
            <w:r>
              <w:rPr>
                <w:spacing w:val="-10"/>
                <w:sz w:val="20"/>
              </w:rPr>
              <w:t> </w:t>
            </w:r>
            <w:r>
              <w:rPr>
                <w:sz w:val="20"/>
              </w:rPr>
              <w:t>to prior-year reporting - backdated in Treasury's central accounting system</w:t>
            </w:r>
          </w:p>
          <w:p>
            <w:pPr>
              <w:pStyle w:val="TableParagraph"/>
              <w:spacing w:before="0"/>
              <w:ind w:right="71"/>
              <w:rPr>
                <w:sz w:val="20"/>
              </w:rPr>
            </w:pPr>
            <w:r>
              <w:rPr>
                <w:sz w:val="20"/>
              </w:rPr>
              <w:t>P - Adjustment to prior-year reporting - not backdated in Treasury's central accounting system</w:t>
            </w:r>
          </w:p>
          <w:p>
            <w:pPr>
              <w:pStyle w:val="TableParagraph"/>
              <w:spacing w:before="0"/>
              <w:ind w:right="407"/>
              <w:rPr>
                <w:sz w:val="20"/>
              </w:rPr>
            </w:pPr>
            <w:r>
              <w:rPr>
                <w:sz w:val="20"/>
              </w:rPr>
              <w:t>X - Not an adjustment to prior-year reporting</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before="17"/>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spacing w:before="17"/>
              <w:rPr>
                <w:sz w:val="20"/>
              </w:rPr>
            </w:pPr>
            <w:r>
              <w:rPr>
                <w:sz w:val="20"/>
              </w:rPr>
              <w:t>Bulk File</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Program Indicator</w:t>
            </w:r>
          </w:p>
        </w:tc>
        <w:tc>
          <w:tcPr>
            <w:tcW w:w="1219" w:type="dxa"/>
          </w:tcPr>
          <w:p>
            <w:pPr>
              <w:pStyle w:val="TableParagraph"/>
              <w:spacing w:before="15"/>
              <w:ind w:left="7" w:right="185"/>
              <w:rPr>
                <w:sz w:val="20"/>
              </w:rPr>
            </w:pPr>
            <w:r>
              <w:rPr>
                <w:sz w:val="20"/>
              </w:rPr>
              <w:t>Program </w:t>
            </w:r>
            <w:r>
              <w:rPr>
                <w:w w:val="95"/>
                <w:sz w:val="20"/>
              </w:rPr>
              <w:t>Indicator</w:t>
            </w:r>
          </w:p>
        </w:tc>
        <w:tc>
          <w:tcPr>
            <w:tcW w:w="4543" w:type="dxa"/>
            <w:tcBorders>
              <w:top w:val="single" w:sz="2" w:space="0" w:color="000000"/>
              <w:bottom w:val="single" w:sz="2" w:space="0" w:color="000000"/>
              <w:right w:val="single" w:sz="2" w:space="0" w:color="000000"/>
            </w:tcBorders>
          </w:tcPr>
          <w:p>
            <w:pPr>
              <w:pStyle w:val="TableParagraph"/>
              <w:ind w:left="7" w:right="363"/>
              <w:rPr>
                <w:sz w:val="20"/>
              </w:rPr>
            </w:pPr>
            <w:r>
              <w:rPr>
                <w:sz w:val="20"/>
              </w:rPr>
              <w:t>The amount of cost or revenue directly or indirectly traceable to programs</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 - Assigned to programs</w:t>
            </w:r>
          </w:p>
          <w:p>
            <w:pPr>
              <w:pStyle w:val="TableParagraph"/>
              <w:spacing w:before="0"/>
              <w:ind w:right="120"/>
              <w:rPr>
                <w:sz w:val="20"/>
              </w:rPr>
            </w:pPr>
            <w:r>
              <w:rPr>
                <w:sz w:val="20"/>
              </w:rPr>
              <w:t>Q - Not assigned to programs</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TFM</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r>
        <w:trPr>
          <w:trHeight w:val="1426" w:hRule="exact"/>
        </w:trPr>
        <w:tc>
          <w:tcPr>
            <w:tcW w:w="2112" w:type="dxa"/>
            <w:tcBorders>
              <w:top w:val="single" w:sz="2" w:space="0" w:color="000000"/>
              <w:left w:val="single" w:sz="2" w:space="0" w:color="000000"/>
              <w:bottom w:val="single" w:sz="2" w:space="0" w:color="000000"/>
            </w:tcBorders>
          </w:tcPr>
          <w:p>
            <w:pPr>
              <w:pStyle w:val="TableParagraph"/>
              <w:ind w:right="4"/>
              <w:rPr>
                <w:sz w:val="20"/>
              </w:rPr>
            </w:pPr>
            <w:r>
              <w:rPr>
                <w:sz w:val="20"/>
              </w:rPr>
              <w:t>Program Report Category Code</w:t>
            </w:r>
          </w:p>
        </w:tc>
        <w:tc>
          <w:tcPr>
            <w:tcW w:w="1219" w:type="dxa"/>
          </w:tcPr>
          <w:p>
            <w:pPr>
              <w:pStyle w:val="TableParagraph"/>
              <w:spacing w:before="15"/>
              <w:ind w:left="7" w:right="150"/>
              <w:rPr>
                <w:sz w:val="20"/>
              </w:rPr>
            </w:pPr>
            <w:r>
              <w:rPr>
                <w:sz w:val="20"/>
              </w:rPr>
              <w:t>Program Rpt Cat</w:t>
            </w:r>
          </w:p>
        </w:tc>
        <w:tc>
          <w:tcPr>
            <w:tcW w:w="4543" w:type="dxa"/>
            <w:tcBorders>
              <w:top w:val="single" w:sz="2" w:space="0" w:color="000000"/>
              <w:bottom w:val="single" w:sz="2" w:space="0" w:color="000000"/>
              <w:right w:val="single" w:sz="2" w:space="0" w:color="000000"/>
            </w:tcBorders>
          </w:tcPr>
          <w:p>
            <w:pPr>
              <w:pStyle w:val="TableParagraph"/>
              <w:ind w:left="7" w:right="7"/>
              <w:rPr>
                <w:sz w:val="20"/>
              </w:rPr>
            </w:pPr>
            <w:r>
              <w:rPr>
                <w:sz w:val="20"/>
              </w:rPr>
              <w:t>Identifies a program report category that agencies use when reporting their obligations in their detailed financial information. Agencies may use this code when reporting either Category A or Category B obligations. Unlike the Apportionment Category B Program, this code is NOT subject to the Anti-Deficiency Act.</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142"/>
              <w:rPr>
                <w:sz w:val="20"/>
              </w:rPr>
            </w:pPr>
            <w:r>
              <w:rPr>
                <w:sz w:val="20"/>
              </w:rPr>
              <w:t>## - Program Report Category Code</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2/N</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r>
        <w:trPr>
          <w:trHeight w:val="737"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Reduction Type Code</w:t>
            </w:r>
          </w:p>
        </w:tc>
        <w:tc>
          <w:tcPr>
            <w:tcW w:w="1219" w:type="dxa"/>
          </w:tcPr>
          <w:p>
            <w:pPr>
              <w:pStyle w:val="TableParagraph"/>
              <w:spacing w:before="15"/>
              <w:ind w:left="7" w:right="355"/>
              <w:rPr>
                <w:sz w:val="20"/>
              </w:rPr>
            </w:pPr>
            <w:r>
              <w:rPr>
                <w:sz w:val="20"/>
              </w:rPr>
              <w:t>Reduction Type</w:t>
            </w:r>
          </w:p>
        </w:tc>
        <w:tc>
          <w:tcPr>
            <w:tcW w:w="4543" w:type="dxa"/>
            <w:tcBorders>
              <w:top w:val="single" w:sz="2" w:space="0" w:color="000000"/>
              <w:bottom w:val="single" w:sz="2" w:space="0" w:color="000000"/>
              <w:right w:val="single" w:sz="2" w:space="0" w:color="000000"/>
            </w:tcBorders>
          </w:tcPr>
          <w:p>
            <w:pPr>
              <w:pStyle w:val="TableParagraph"/>
              <w:ind w:left="7" w:right="492"/>
              <w:jc w:val="both"/>
              <w:rPr>
                <w:sz w:val="20"/>
              </w:rPr>
            </w:pPr>
            <w:r>
              <w:rPr>
                <w:sz w:val="20"/>
              </w:rPr>
              <w:t>The code representing the type of reduction being reported (e.g., Across The Board, Sequestration or Other) in detailed financial information.</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348"/>
              <w:rPr>
                <w:sz w:val="20"/>
              </w:rPr>
            </w:pPr>
            <w:r>
              <w:rPr>
                <w:sz w:val="20"/>
              </w:rPr>
              <w:t>ATB - Across The Board reduction</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3/A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line="229" w:lineRule="exact"/>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bl>
    <w:p>
      <w:pPr>
        <w:spacing w:after="0"/>
        <w:rPr>
          <w:sz w:val="20"/>
        </w:rPr>
        <w:sectPr>
          <w:pgSz w:w="15840" w:h="12240" w:orient="landscape"/>
          <w:pgMar w:header="722" w:footer="748" w:top="1620" w:bottom="940" w:left="1300" w:right="1800"/>
        </w:sectPr>
      </w:pPr>
    </w:p>
    <w:p>
      <w:pPr>
        <w:spacing w:line="240" w:lineRule="auto" w:before="5" w:after="1"/>
        <w:rPr>
          <w:sz w:val="2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w w:val="95"/>
                <w:sz w:val="20"/>
              </w:rPr>
              <w:t>Attribute </w:t>
            </w:r>
            <w:r>
              <w:rPr>
                <w:b/>
                <w:sz w:val="20"/>
              </w:rPr>
              <w:t>Name</w:t>
            </w:r>
          </w:p>
        </w:tc>
        <w:tc>
          <w:tcPr>
            <w:tcW w:w="1219" w:type="dxa"/>
          </w:tcPr>
          <w:p>
            <w:pPr>
              <w:pStyle w:val="TableParagraph"/>
              <w:spacing w:before="15"/>
              <w:ind w:left="352" w:right="185" w:hanging="152"/>
              <w:rPr>
                <w:b/>
                <w:sz w:val="20"/>
              </w:rPr>
            </w:pPr>
            <w:r>
              <w:rPr>
                <w:b/>
                <w:sz w:val="20"/>
              </w:rPr>
              <w:t>Attribute Short Name</w:t>
            </w:r>
          </w:p>
        </w:tc>
        <w:tc>
          <w:tcPr>
            <w:tcW w:w="4543" w:type="dxa"/>
          </w:tcPr>
          <w:p>
            <w:pPr>
              <w:pStyle w:val="TableParagraph"/>
              <w:spacing w:before="3"/>
              <w:ind w:left="0"/>
              <w:rPr>
                <w:sz w:val="21"/>
              </w:rPr>
            </w:pPr>
          </w:p>
          <w:p>
            <w:pPr>
              <w:pStyle w:val="TableParagraph"/>
              <w:spacing w:before="1"/>
              <w:ind w:left="1833" w:right="1838" w:firstLine="2"/>
              <w:jc w:val="center"/>
              <w:rPr>
                <w:b/>
                <w:sz w:val="20"/>
              </w:rPr>
            </w:pPr>
            <w:r>
              <w:rPr>
                <w:b/>
                <w:sz w:val="20"/>
              </w:rPr>
              <w:t>Attribute Definition</w:t>
            </w:r>
          </w:p>
        </w:tc>
        <w:tc>
          <w:tcPr>
            <w:tcW w:w="1507" w:type="dxa"/>
          </w:tcPr>
          <w:p>
            <w:pPr>
              <w:pStyle w:val="TableParagraph"/>
              <w:spacing w:before="0"/>
              <w:ind w:left="0"/>
              <w:rPr>
                <w:sz w:val="22"/>
              </w:rPr>
            </w:pPr>
          </w:p>
          <w:p>
            <w:pPr>
              <w:pStyle w:val="TableParagraph"/>
              <w:spacing w:before="1"/>
              <w:ind w:left="0"/>
              <w:rPr>
                <w:sz w:val="19"/>
              </w:rPr>
            </w:pPr>
          </w:p>
          <w:p>
            <w:pPr>
              <w:pStyle w:val="TableParagraph"/>
              <w:spacing w:before="1"/>
              <w:ind w:left="407"/>
              <w:rPr>
                <w:b/>
                <w:sz w:val="20"/>
              </w:rPr>
            </w:pPr>
            <w:r>
              <w:rPr>
                <w:b/>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sz w:val="20"/>
              </w:rPr>
              <w:t>System Characters</w:t>
            </w:r>
          </w:p>
        </w:tc>
        <w:tc>
          <w:tcPr>
            <w:tcW w:w="917" w:type="dxa"/>
          </w:tcPr>
          <w:p>
            <w:pPr>
              <w:pStyle w:val="TableParagraph"/>
              <w:spacing w:before="0"/>
              <w:ind w:left="0"/>
              <w:rPr>
                <w:sz w:val="22"/>
              </w:rPr>
            </w:pPr>
          </w:p>
          <w:p>
            <w:pPr>
              <w:pStyle w:val="TableParagraph"/>
              <w:spacing w:before="1"/>
              <w:ind w:left="0"/>
              <w:rPr>
                <w:sz w:val="19"/>
              </w:rPr>
            </w:pPr>
          </w:p>
          <w:p>
            <w:pPr>
              <w:pStyle w:val="TableParagraph"/>
              <w:spacing w:before="1"/>
              <w:ind w:left="24"/>
              <w:rPr>
                <w:b/>
                <w:sz w:val="20"/>
              </w:rPr>
            </w:pPr>
            <w:r>
              <w:rPr>
                <w:b/>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w w:val="95"/>
                <w:sz w:val="20"/>
              </w:rPr>
              <w:t>Supplied </w:t>
            </w:r>
            <w:r>
              <w:rPr>
                <w:b/>
                <w:sz w:val="20"/>
              </w:rPr>
              <w:t>By</w:t>
            </w:r>
          </w:p>
        </w:tc>
      </w:tr>
      <w:tr>
        <w:trPr>
          <w:trHeight w:val="1418" w:hRule="exact"/>
        </w:trPr>
        <w:tc>
          <w:tcPr>
            <w:tcW w:w="2112" w:type="dxa"/>
            <w:tcBorders>
              <w:left w:val="single" w:sz="2" w:space="0" w:color="000000"/>
              <w:bottom w:val="single" w:sz="2" w:space="0" w:color="000000"/>
            </w:tcBorders>
          </w:tcPr>
          <w:p>
            <w:pPr/>
          </w:p>
        </w:tc>
        <w:tc>
          <w:tcPr>
            <w:tcW w:w="1219" w:type="dxa"/>
          </w:tcPr>
          <w:p>
            <w:pPr/>
          </w:p>
        </w:tc>
        <w:tc>
          <w:tcPr>
            <w:tcW w:w="4543" w:type="dxa"/>
            <w:tcBorders>
              <w:bottom w:val="single" w:sz="2" w:space="0" w:color="000000"/>
              <w:right w:val="single" w:sz="2" w:space="0" w:color="000000"/>
            </w:tcBorders>
          </w:tcPr>
          <w:p>
            <w:pPr/>
          </w:p>
        </w:tc>
        <w:tc>
          <w:tcPr>
            <w:tcW w:w="1507" w:type="dxa"/>
            <w:tcBorders>
              <w:left w:val="single" w:sz="2" w:space="0" w:color="000000"/>
              <w:bottom w:val="single" w:sz="2" w:space="0" w:color="000000"/>
              <w:right w:val="single" w:sz="2" w:space="0" w:color="000000"/>
            </w:tcBorders>
          </w:tcPr>
          <w:p>
            <w:pPr>
              <w:pStyle w:val="TableParagraph"/>
              <w:spacing w:before="7"/>
              <w:ind w:right="3"/>
              <w:rPr>
                <w:sz w:val="20"/>
              </w:rPr>
            </w:pPr>
            <w:r>
              <w:rPr>
                <w:sz w:val="20"/>
              </w:rPr>
              <w:t>OTR - Reductions other than ATB and SEQ</w:t>
            </w:r>
          </w:p>
          <w:p>
            <w:pPr>
              <w:pStyle w:val="TableParagraph"/>
              <w:spacing w:line="228" w:lineRule="exact" w:before="0"/>
              <w:rPr>
                <w:sz w:val="20"/>
              </w:rPr>
            </w:pPr>
            <w:r>
              <w:rPr>
                <w:sz w:val="20"/>
              </w:rPr>
              <w:t>SEQ -</w:t>
            </w:r>
          </w:p>
          <w:p>
            <w:pPr>
              <w:pStyle w:val="TableParagraph"/>
              <w:spacing w:before="1"/>
              <w:ind w:right="115"/>
              <w:rPr>
                <w:sz w:val="20"/>
              </w:rPr>
            </w:pPr>
            <w:r>
              <w:rPr>
                <w:w w:val="95"/>
                <w:sz w:val="20"/>
              </w:rPr>
              <w:t>Sequestration </w:t>
            </w:r>
            <w:r>
              <w:rPr>
                <w:sz w:val="20"/>
              </w:rPr>
              <w:t>XXX - N.A.</w:t>
            </w:r>
          </w:p>
        </w:tc>
        <w:tc>
          <w:tcPr>
            <w:tcW w:w="1044" w:type="dxa"/>
            <w:tcBorders>
              <w:left w:val="single" w:sz="2" w:space="0" w:color="000000"/>
              <w:bottom w:val="single" w:sz="2" w:space="0" w:color="000000"/>
              <w:right w:val="single" w:sz="2" w:space="0" w:color="000000"/>
            </w:tcBorders>
          </w:tcPr>
          <w:p>
            <w:pPr/>
          </w:p>
        </w:tc>
        <w:tc>
          <w:tcPr>
            <w:tcW w:w="917" w:type="dxa"/>
            <w:tcBorders>
              <w:left w:val="single" w:sz="2" w:space="0" w:color="000000"/>
              <w:bottom w:val="single" w:sz="2" w:space="0" w:color="000000"/>
              <w:right w:val="single" w:sz="2" w:space="0" w:color="000000"/>
            </w:tcBorders>
          </w:tcPr>
          <w:p>
            <w:pPr/>
          </w:p>
        </w:tc>
        <w:tc>
          <w:tcPr>
            <w:tcW w:w="958" w:type="dxa"/>
            <w:tcBorders>
              <w:left w:val="single" w:sz="2" w:space="0" w:color="000000"/>
              <w:bottom w:val="single" w:sz="2" w:space="0" w:color="000000"/>
              <w:right w:val="single" w:sz="2" w:space="0" w:color="000000"/>
            </w:tcBorders>
          </w:tcPr>
          <w:p>
            <w:pPr/>
          </w:p>
        </w:tc>
      </w:tr>
      <w:tr>
        <w:trPr>
          <w:trHeight w:val="734" w:hRule="exact"/>
        </w:trPr>
        <w:tc>
          <w:tcPr>
            <w:tcW w:w="2112" w:type="dxa"/>
            <w:tcBorders>
              <w:top w:val="single" w:sz="2" w:space="0" w:color="000000"/>
              <w:left w:val="single" w:sz="2" w:space="0" w:color="000000"/>
              <w:bottom w:val="single" w:sz="2" w:space="0" w:color="000000"/>
            </w:tcBorders>
          </w:tcPr>
          <w:p>
            <w:pPr>
              <w:pStyle w:val="TableParagraph"/>
              <w:ind w:right="554"/>
              <w:rPr>
                <w:sz w:val="20"/>
              </w:rPr>
            </w:pPr>
            <w:r>
              <w:rPr>
                <w:sz w:val="20"/>
              </w:rPr>
              <w:t>Reimbursable Flag Indicator</w:t>
            </w:r>
          </w:p>
        </w:tc>
        <w:tc>
          <w:tcPr>
            <w:tcW w:w="1219" w:type="dxa"/>
          </w:tcPr>
          <w:p>
            <w:pPr>
              <w:pStyle w:val="TableParagraph"/>
              <w:spacing w:before="15"/>
              <w:ind w:left="7"/>
              <w:rPr>
                <w:sz w:val="20"/>
              </w:rPr>
            </w:pPr>
            <w:r>
              <w:rPr>
                <w:sz w:val="20"/>
              </w:rPr>
              <w:t>Reimb Flag</w:t>
            </w:r>
          </w:p>
        </w:tc>
        <w:tc>
          <w:tcPr>
            <w:tcW w:w="4543" w:type="dxa"/>
            <w:tcBorders>
              <w:top w:val="single" w:sz="2" w:space="0" w:color="000000"/>
              <w:bottom w:val="single" w:sz="2" w:space="0" w:color="000000"/>
              <w:right w:val="single" w:sz="2" w:space="0" w:color="000000"/>
            </w:tcBorders>
          </w:tcPr>
          <w:p>
            <w:pPr>
              <w:pStyle w:val="TableParagraph"/>
              <w:ind w:left="7" w:right="2"/>
              <w:rPr>
                <w:sz w:val="20"/>
              </w:rPr>
            </w:pPr>
            <w:r>
              <w:rPr>
                <w:sz w:val="20"/>
              </w:rPr>
              <w:t>Indicates whether amounts for goods, services, and joint project support are financed by offsetting collections.</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D - Direct</w:t>
            </w:r>
          </w:p>
          <w:p>
            <w:pPr>
              <w:pStyle w:val="TableParagraph"/>
              <w:spacing w:before="0"/>
              <w:rPr>
                <w:sz w:val="20"/>
              </w:rPr>
            </w:pPr>
            <w:r>
              <w:rPr>
                <w:sz w:val="20"/>
              </w:rPr>
              <w:t>R - Reimbursable</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Reporting Type Code</w:t>
            </w:r>
          </w:p>
        </w:tc>
        <w:tc>
          <w:tcPr>
            <w:tcW w:w="1219" w:type="dxa"/>
          </w:tcPr>
          <w:p>
            <w:pPr>
              <w:pStyle w:val="TableParagraph"/>
              <w:spacing w:before="15"/>
              <w:ind w:left="7" w:right="294"/>
              <w:rPr>
                <w:sz w:val="20"/>
              </w:rPr>
            </w:pPr>
            <w:r>
              <w:rPr>
                <w:sz w:val="20"/>
              </w:rPr>
              <w:t>Reporting Type Code</w:t>
            </w:r>
          </w:p>
        </w:tc>
        <w:tc>
          <w:tcPr>
            <w:tcW w:w="4543" w:type="dxa"/>
            <w:tcBorders>
              <w:top w:val="single" w:sz="2" w:space="0" w:color="000000"/>
              <w:bottom w:val="single" w:sz="2" w:space="0" w:color="000000"/>
              <w:right w:val="single" w:sz="2" w:space="0" w:color="000000"/>
            </w:tcBorders>
          </w:tcPr>
          <w:p>
            <w:pPr>
              <w:pStyle w:val="TableParagraph"/>
              <w:ind w:left="7" w:right="74"/>
              <w:rPr>
                <w:sz w:val="20"/>
              </w:rPr>
            </w:pPr>
            <w:r>
              <w:rPr>
                <w:sz w:val="20"/>
              </w:rPr>
              <w:t>Indicates at the TAS level activity related to non- Federal ownership interest or statutory dedication of specifically identified revenues to designated activities.</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371"/>
              <w:rPr>
                <w:sz w:val="20"/>
              </w:rPr>
            </w:pPr>
            <w:r>
              <w:rPr>
                <w:sz w:val="20"/>
              </w:rPr>
              <w:t>E - Dedicated Collection</w:t>
            </w:r>
          </w:p>
          <w:p>
            <w:pPr>
              <w:pStyle w:val="TableParagraph"/>
              <w:spacing w:line="229" w:lineRule="exact" w:before="0"/>
              <w:rPr>
                <w:sz w:val="20"/>
              </w:rPr>
            </w:pPr>
            <w:r>
              <w:rPr>
                <w:sz w:val="20"/>
              </w:rPr>
              <w:t>F - Fiduciary</w:t>
            </w:r>
          </w:p>
          <w:p>
            <w:pPr>
              <w:pStyle w:val="TableParagraph"/>
              <w:spacing w:line="229" w:lineRule="exact" w:before="0"/>
              <w:rPr>
                <w:sz w:val="20"/>
              </w:rPr>
            </w:pPr>
            <w:r>
              <w:rPr>
                <w:sz w:val="20"/>
              </w:rPr>
              <w:t>U - Undesignated</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SFFAS 27</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TAS</w:t>
            </w:r>
          </w:p>
        </w:tc>
      </w:tr>
      <w:tr>
        <w:trPr>
          <w:trHeight w:val="2345" w:hRule="exact"/>
        </w:trPr>
        <w:tc>
          <w:tcPr>
            <w:tcW w:w="2112" w:type="dxa"/>
            <w:tcBorders>
              <w:top w:val="single" w:sz="2" w:space="0" w:color="000000"/>
              <w:left w:val="single" w:sz="2" w:space="0" w:color="000000"/>
              <w:bottom w:val="single" w:sz="2" w:space="0" w:color="000000"/>
            </w:tcBorders>
          </w:tcPr>
          <w:p>
            <w:pPr>
              <w:pStyle w:val="TableParagraph"/>
              <w:rPr>
                <w:sz w:val="20"/>
              </w:rPr>
            </w:pPr>
            <w:r>
              <w:rPr>
                <w:sz w:val="20"/>
              </w:rPr>
              <w:t>TAS Status Code</w:t>
            </w:r>
          </w:p>
        </w:tc>
        <w:tc>
          <w:tcPr>
            <w:tcW w:w="1219" w:type="dxa"/>
          </w:tcPr>
          <w:p>
            <w:pPr>
              <w:pStyle w:val="TableParagraph"/>
              <w:spacing w:before="15"/>
              <w:ind w:left="7"/>
              <w:rPr>
                <w:sz w:val="20"/>
              </w:rPr>
            </w:pPr>
            <w:r>
              <w:rPr>
                <w:sz w:val="20"/>
              </w:rPr>
              <w:t>TAS Status</w:t>
            </w:r>
          </w:p>
        </w:tc>
        <w:tc>
          <w:tcPr>
            <w:tcW w:w="4543" w:type="dxa"/>
            <w:tcBorders>
              <w:top w:val="single" w:sz="2" w:space="0" w:color="000000"/>
              <w:bottom w:val="single" w:sz="2" w:space="0" w:color="000000"/>
              <w:right w:val="single" w:sz="2" w:space="0" w:color="000000"/>
            </w:tcBorders>
          </w:tcPr>
          <w:p>
            <w:pPr>
              <w:pStyle w:val="TableParagraph"/>
              <w:ind w:left="7" w:right="154"/>
              <w:rPr>
                <w:sz w:val="20"/>
              </w:rPr>
            </w:pPr>
            <w:r>
              <w:rPr>
                <w:sz w:val="20"/>
              </w:rPr>
              <w:t>Expired - time period the budget authority is no longer available for new obligations but is still available for disbursement. Unexpired - time period the budget authority is available for incurring "new" obligations. Annual budget authority lasts for up to one fiscal year. Multi-year authority lasts for longer periods. No-year authority last indefinitely. Canceled - time period after the last expired year, the account is closed, and the balances are canceled. The authority to disburse is canceled and is no longer available for any purpose.</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315"/>
              <w:rPr>
                <w:sz w:val="20"/>
              </w:rPr>
            </w:pPr>
            <w:r>
              <w:rPr>
                <w:sz w:val="20"/>
              </w:rPr>
              <w:t>U - Unexpired E - Expired</w:t>
            </w:r>
          </w:p>
          <w:p>
            <w:pPr>
              <w:pStyle w:val="TableParagraph"/>
              <w:spacing w:before="0"/>
              <w:rPr>
                <w:sz w:val="20"/>
              </w:rPr>
            </w:pPr>
            <w:r>
              <w:rPr>
                <w:sz w:val="20"/>
              </w:rPr>
              <w:t>C - Canceled</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TAS</w:t>
            </w:r>
          </w:p>
        </w:tc>
      </w:tr>
      <w:tr>
        <w:trPr>
          <w:trHeight w:val="1656" w:hRule="exact"/>
        </w:trPr>
        <w:tc>
          <w:tcPr>
            <w:tcW w:w="2112" w:type="dxa"/>
            <w:tcBorders>
              <w:top w:val="single" w:sz="2" w:space="0" w:color="000000"/>
              <w:left w:val="single" w:sz="2" w:space="0" w:color="000000"/>
              <w:bottom w:val="single" w:sz="2" w:space="0" w:color="000000"/>
            </w:tcBorders>
          </w:tcPr>
          <w:p>
            <w:pPr>
              <w:pStyle w:val="TableParagraph"/>
              <w:ind w:right="26"/>
              <w:rPr>
                <w:sz w:val="20"/>
              </w:rPr>
            </w:pPr>
            <w:r>
              <w:rPr>
                <w:sz w:val="20"/>
              </w:rPr>
              <w:t>TAS Status Transitioning Code</w:t>
            </w:r>
          </w:p>
        </w:tc>
        <w:tc>
          <w:tcPr>
            <w:tcW w:w="1219" w:type="dxa"/>
          </w:tcPr>
          <w:p>
            <w:pPr>
              <w:pStyle w:val="TableParagraph"/>
              <w:spacing w:before="15"/>
              <w:ind w:left="7"/>
              <w:rPr>
                <w:sz w:val="20"/>
              </w:rPr>
            </w:pPr>
            <w:r>
              <w:rPr>
                <w:sz w:val="20"/>
              </w:rPr>
              <w:t>Trans. Code</w:t>
            </w:r>
          </w:p>
        </w:tc>
        <w:tc>
          <w:tcPr>
            <w:tcW w:w="4543" w:type="dxa"/>
            <w:tcBorders>
              <w:top w:val="single" w:sz="2" w:space="0" w:color="000000"/>
              <w:bottom w:val="single" w:sz="2" w:space="0" w:color="000000"/>
              <w:right w:val="single" w:sz="2" w:space="0" w:color="000000"/>
            </w:tcBorders>
          </w:tcPr>
          <w:p>
            <w:pPr>
              <w:pStyle w:val="TableParagraph"/>
              <w:ind w:left="7" w:right="17"/>
              <w:rPr>
                <w:sz w:val="20"/>
              </w:rPr>
            </w:pPr>
            <w:r>
              <w:rPr>
                <w:sz w:val="20"/>
              </w:rPr>
              <w:t>Expiring - Applies to annual and multi year accounts only. TAS Status Transitioning Flag is set to expiring in period 12 of the ending year of availability. Canceling - Applies to annual and multi year accounts. For annual and multi year accounts, the TAS Status Transitioning Flag is set to cancelling in period 12 of the 5th expired year.</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348"/>
              <w:rPr>
                <w:sz w:val="20"/>
              </w:rPr>
            </w:pPr>
            <w:r>
              <w:rPr>
                <w:sz w:val="20"/>
              </w:rPr>
              <w:t>X - Expiring K - Canceling N - Not applicable</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1/A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TFM</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TAS</w:t>
            </w:r>
          </w:p>
        </w:tc>
      </w:tr>
      <w:tr>
        <w:trPr>
          <w:trHeight w:val="965" w:hRule="exact"/>
        </w:trPr>
        <w:tc>
          <w:tcPr>
            <w:tcW w:w="2112" w:type="dxa"/>
            <w:tcBorders>
              <w:top w:val="single" w:sz="2" w:space="0" w:color="000000"/>
              <w:left w:val="single" w:sz="2" w:space="0" w:color="000000"/>
              <w:bottom w:val="single" w:sz="2" w:space="0" w:color="000000"/>
            </w:tcBorders>
          </w:tcPr>
          <w:p>
            <w:pPr>
              <w:pStyle w:val="TableParagraph"/>
              <w:ind w:right="137"/>
              <w:rPr>
                <w:sz w:val="20"/>
              </w:rPr>
            </w:pPr>
            <w:r>
              <w:rPr>
                <w:sz w:val="20"/>
              </w:rPr>
              <w:t>Trading Partner Agency Identifier</w:t>
            </w:r>
          </w:p>
        </w:tc>
        <w:tc>
          <w:tcPr>
            <w:tcW w:w="1219" w:type="dxa"/>
          </w:tcPr>
          <w:p>
            <w:pPr>
              <w:pStyle w:val="TableParagraph"/>
              <w:spacing w:before="15"/>
              <w:ind w:left="7"/>
              <w:rPr>
                <w:sz w:val="20"/>
              </w:rPr>
            </w:pPr>
            <w:r>
              <w:rPr>
                <w:sz w:val="20"/>
              </w:rPr>
              <w:t>Trading Ptnr</w:t>
            </w:r>
          </w:p>
        </w:tc>
        <w:tc>
          <w:tcPr>
            <w:tcW w:w="4543" w:type="dxa"/>
            <w:tcBorders>
              <w:top w:val="single" w:sz="2" w:space="0" w:color="000000"/>
              <w:bottom w:val="single" w:sz="2" w:space="0" w:color="000000"/>
              <w:right w:val="single" w:sz="2" w:space="0" w:color="000000"/>
            </w:tcBorders>
          </w:tcPr>
          <w:p>
            <w:pPr>
              <w:pStyle w:val="TableParagraph"/>
              <w:ind w:left="7" w:right="33"/>
              <w:rPr>
                <w:sz w:val="20"/>
              </w:rPr>
            </w:pPr>
            <w:r>
              <w:rPr>
                <w:sz w:val="20"/>
              </w:rPr>
              <w:t>Represents the agency identifier of the other department, agency, or establishment of the U. S. government involved in transactions with the reporting entity. Required if the Fed/Non-Federal Indicator = F or</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ind w:right="94"/>
              <w:rPr>
                <w:sz w:val="20"/>
              </w:rPr>
            </w:pPr>
            <w:r>
              <w:rPr>
                <w:sz w:val="20"/>
              </w:rPr>
              <w:t>### - Trading Partner (CGAC three-digit department code)</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3/N</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line="229" w:lineRule="exact"/>
              <w:ind w:left="14"/>
              <w:rPr>
                <w:sz w:val="20"/>
              </w:rPr>
            </w:pPr>
            <w:r>
              <w:rPr>
                <w:sz w:val="20"/>
              </w:rPr>
              <w:t>FAST</w:t>
            </w:r>
          </w:p>
          <w:p>
            <w:pPr>
              <w:pStyle w:val="TableParagraph"/>
              <w:spacing w:line="229" w:lineRule="exact" w:before="0"/>
              <w:ind w:left="14"/>
              <w:rPr>
                <w:sz w:val="20"/>
              </w:rPr>
            </w:pPr>
            <w:r>
              <w:rPr>
                <w:sz w:val="20"/>
              </w:rPr>
              <w:t>Book</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bl>
    <w:p>
      <w:pPr>
        <w:spacing w:after="0"/>
        <w:rPr>
          <w:sz w:val="20"/>
        </w:rPr>
        <w:sectPr>
          <w:pgSz w:w="15840" w:h="12240" w:orient="landscape"/>
          <w:pgMar w:header="722" w:footer="748" w:top="1620" w:bottom="940" w:left="1300" w:right="1800"/>
        </w:sectPr>
      </w:pPr>
    </w:p>
    <w:p>
      <w:pPr>
        <w:spacing w:line="240" w:lineRule="auto" w:before="5" w:after="1"/>
        <w:rPr>
          <w:sz w:val="2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2"/>
        <w:gridCol w:w="1219"/>
        <w:gridCol w:w="4543"/>
        <w:gridCol w:w="1507"/>
        <w:gridCol w:w="1044"/>
        <w:gridCol w:w="917"/>
        <w:gridCol w:w="958"/>
      </w:tblGrid>
      <w:tr>
        <w:trPr>
          <w:trHeight w:val="737" w:hRule="exact"/>
        </w:trPr>
        <w:tc>
          <w:tcPr>
            <w:tcW w:w="2112" w:type="dxa"/>
          </w:tcPr>
          <w:p>
            <w:pPr>
              <w:pStyle w:val="TableParagraph"/>
              <w:spacing w:before="3"/>
              <w:ind w:left="0"/>
              <w:rPr>
                <w:sz w:val="21"/>
              </w:rPr>
            </w:pPr>
          </w:p>
          <w:p>
            <w:pPr>
              <w:pStyle w:val="TableParagraph"/>
              <w:spacing w:before="1"/>
              <w:ind w:left="799" w:right="211" w:hanging="152"/>
              <w:rPr>
                <w:b/>
                <w:sz w:val="20"/>
              </w:rPr>
            </w:pPr>
            <w:r>
              <w:rPr>
                <w:b/>
                <w:w w:val="95"/>
                <w:sz w:val="20"/>
              </w:rPr>
              <w:t>Attribute </w:t>
            </w:r>
            <w:r>
              <w:rPr>
                <w:b/>
                <w:sz w:val="20"/>
              </w:rPr>
              <w:t>Name</w:t>
            </w:r>
          </w:p>
        </w:tc>
        <w:tc>
          <w:tcPr>
            <w:tcW w:w="1219" w:type="dxa"/>
          </w:tcPr>
          <w:p>
            <w:pPr>
              <w:pStyle w:val="TableParagraph"/>
              <w:spacing w:before="15"/>
              <w:ind w:left="352" w:right="185" w:hanging="152"/>
              <w:rPr>
                <w:b/>
                <w:sz w:val="20"/>
              </w:rPr>
            </w:pPr>
            <w:r>
              <w:rPr>
                <w:b/>
                <w:sz w:val="20"/>
              </w:rPr>
              <w:t>Attribute Short Name</w:t>
            </w:r>
          </w:p>
        </w:tc>
        <w:tc>
          <w:tcPr>
            <w:tcW w:w="4543" w:type="dxa"/>
          </w:tcPr>
          <w:p>
            <w:pPr>
              <w:pStyle w:val="TableParagraph"/>
              <w:spacing w:before="3"/>
              <w:ind w:left="0"/>
              <w:rPr>
                <w:sz w:val="21"/>
              </w:rPr>
            </w:pPr>
          </w:p>
          <w:p>
            <w:pPr>
              <w:pStyle w:val="TableParagraph"/>
              <w:spacing w:before="1"/>
              <w:ind w:left="1833" w:right="1838" w:firstLine="2"/>
              <w:jc w:val="center"/>
              <w:rPr>
                <w:b/>
                <w:sz w:val="20"/>
              </w:rPr>
            </w:pPr>
            <w:r>
              <w:rPr>
                <w:b/>
                <w:sz w:val="20"/>
              </w:rPr>
              <w:t>Attribute Definition</w:t>
            </w:r>
          </w:p>
        </w:tc>
        <w:tc>
          <w:tcPr>
            <w:tcW w:w="1507" w:type="dxa"/>
          </w:tcPr>
          <w:p>
            <w:pPr>
              <w:pStyle w:val="TableParagraph"/>
              <w:spacing w:before="0"/>
              <w:ind w:left="0"/>
              <w:rPr>
                <w:sz w:val="22"/>
              </w:rPr>
            </w:pPr>
          </w:p>
          <w:p>
            <w:pPr>
              <w:pStyle w:val="TableParagraph"/>
              <w:spacing w:before="1"/>
              <w:ind w:left="0"/>
              <w:rPr>
                <w:sz w:val="19"/>
              </w:rPr>
            </w:pPr>
          </w:p>
          <w:p>
            <w:pPr>
              <w:pStyle w:val="TableParagraph"/>
              <w:spacing w:before="1"/>
              <w:ind w:left="407"/>
              <w:rPr>
                <w:b/>
                <w:sz w:val="20"/>
              </w:rPr>
            </w:pPr>
            <w:r>
              <w:rPr>
                <w:b/>
                <w:sz w:val="20"/>
              </w:rPr>
              <w:t>Domain</w:t>
            </w:r>
          </w:p>
        </w:tc>
        <w:tc>
          <w:tcPr>
            <w:tcW w:w="1044" w:type="dxa"/>
          </w:tcPr>
          <w:p>
            <w:pPr>
              <w:pStyle w:val="TableParagraph"/>
              <w:spacing w:before="3"/>
              <w:ind w:left="0"/>
              <w:rPr>
                <w:sz w:val="21"/>
              </w:rPr>
            </w:pPr>
          </w:p>
          <w:p>
            <w:pPr>
              <w:pStyle w:val="TableParagraph"/>
              <w:spacing w:before="1"/>
              <w:ind w:left="38" w:right="16" w:firstLine="172"/>
              <w:rPr>
                <w:b/>
                <w:sz w:val="20"/>
              </w:rPr>
            </w:pPr>
            <w:r>
              <w:rPr>
                <w:b/>
                <w:sz w:val="20"/>
              </w:rPr>
              <w:t>System Characters</w:t>
            </w:r>
          </w:p>
        </w:tc>
        <w:tc>
          <w:tcPr>
            <w:tcW w:w="917" w:type="dxa"/>
          </w:tcPr>
          <w:p>
            <w:pPr>
              <w:pStyle w:val="TableParagraph"/>
              <w:spacing w:before="0"/>
              <w:ind w:left="0"/>
              <w:rPr>
                <w:sz w:val="22"/>
              </w:rPr>
            </w:pPr>
          </w:p>
          <w:p>
            <w:pPr>
              <w:pStyle w:val="TableParagraph"/>
              <w:spacing w:before="1"/>
              <w:ind w:left="0"/>
              <w:rPr>
                <w:sz w:val="19"/>
              </w:rPr>
            </w:pPr>
          </w:p>
          <w:p>
            <w:pPr>
              <w:pStyle w:val="TableParagraph"/>
              <w:spacing w:before="1"/>
              <w:ind w:left="24"/>
              <w:rPr>
                <w:b/>
                <w:sz w:val="20"/>
              </w:rPr>
            </w:pPr>
            <w:r>
              <w:rPr>
                <w:b/>
                <w:sz w:val="20"/>
              </w:rPr>
              <w:t>Reference</w:t>
            </w:r>
          </w:p>
        </w:tc>
        <w:tc>
          <w:tcPr>
            <w:tcW w:w="958" w:type="dxa"/>
          </w:tcPr>
          <w:p>
            <w:pPr>
              <w:pStyle w:val="TableParagraph"/>
              <w:spacing w:before="3"/>
              <w:ind w:left="0"/>
              <w:rPr>
                <w:sz w:val="21"/>
              </w:rPr>
            </w:pPr>
          </w:p>
          <w:p>
            <w:pPr>
              <w:pStyle w:val="TableParagraph"/>
              <w:spacing w:before="1"/>
              <w:ind w:left="352" w:hanging="262"/>
              <w:rPr>
                <w:b/>
                <w:sz w:val="20"/>
              </w:rPr>
            </w:pPr>
            <w:r>
              <w:rPr>
                <w:b/>
                <w:w w:val="95"/>
                <w:sz w:val="20"/>
              </w:rPr>
              <w:t>Supplied </w:t>
            </w:r>
            <w:r>
              <w:rPr>
                <w:b/>
                <w:sz w:val="20"/>
              </w:rPr>
              <w:t>By</w:t>
            </w:r>
          </w:p>
        </w:tc>
      </w:tr>
      <w:tr>
        <w:trPr>
          <w:trHeight w:val="269" w:hRule="exact"/>
        </w:trPr>
        <w:tc>
          <w:tcPr>
            <w:tcW w:w="2112" w:type="dxa"/>
            <w:tcBorders>
              <w:left w:val="single" w:sz="2" w:space="0" w:color="000000"/>
              <w:bottom w:val="single" w:sz="2" w:space="0" w:color="000000"/>
            </w:tcBorders>
          </w:tcPr>
          <w:p>
            <w:pPr/>
          </w:p>
        </w:tc>
        <w:tc>
          <w:tcPr>
            <w:tcW w:w="1219" w:type="dxa"/>
          </w:tcPr>
          <w:p>
            <w:pPr/>
          </w:p>
        </w:tc>
        <w:tc>
          <w:tcPr>
            <w:tcW w:w="4543" w:type="dxa"/>
            <w:tcBorders>
              <w:bottom w:val="single" w:sz="2" w:space="0" w:color="000000"/>
              <w:right w:val="single" w:sz="2" w:space="0" w:color="000000"/>
            </w:tcBorders>
          </w:tcPr>
          <w:p>
            <w:pPr>
              <w:pStyle w:val="TableParagraph"/>
              <w:spacing w:before="7"/>
              <w:ind w:left="7"/>
              <w:rPr>
                <w:sz w:val="20"/>
              </w:rPr>
            </w:pPr>
            <w:r>
              <w:rPr>
                <w:sz w:val="20"/>
              </w:rPr>
              <w:t>G.</w:t>
            </w:r>
          </w:p>
        </w:tc>
        <w:tc>
          <w:tcPr>
            <w:tcW w:w="1507" w:type="dxa"/>
            <w:tcBorders>
              <w:left w:val="single" w:sz="2" w:space="0" w:color="000000"/>
              <w:bottom w:val="single" w:sz="2" w:space="0" w:color="000000"/>
              <w:right w:val="single" w:sz="2" w:space="0" w:color="000000"/>
            </w:tcBorders>
          </w:tcPr>
          <w:p>
            <w:pPr/>
          </w:p>
        </w:tc>
        <w:tc>
          <w:tcPr>
            <w:tcW w:w="1044" w:type="dxa"/>
            <w:tcBorders>
              <w:left w:val="single" w:sz="2" w:space="0" w:color="000000"/>
              <w:bottom w:val="single" w:sz="2" w:space="0" w:color="000000"/>
              <w:right w:val="single" w:sz="2" w:space="0" w:color="000000"/>
            </w:tcBorders>
          </w:tcPr>
          <w:p>
            <w:pPr/>
          </w:p>
        </w:tc>
        <w:tc>
          <w:tcPr>
            <w:tcW w:w="917" w:type="dxa"/>
            <w:tcBorders>
              <w:left w:val="single" w:sz="2" w:space="0" w:color="000000"/>
              <w:bottom w:val="single" w:sz="2" w:space="0" w:color="000000"/>
              <w:right w:val="single" w:sz="2" w:space="0" w:color="000000"/>
            </w:tcBorders>
          </w:tcPr>
          <w:p>
            <w:pPr/>
          </w:p>
        </w:tc>
        <w:tc>
          <w:tcPr>
            <w:tcW w:w="958" w:type="dxa"/>
            <w:tcBorders>
              <w:left w:val="single" w:sz="2" w:space="0" w:color="000000"/>
              <w:bottom w:val="single" w:sz="2" w:space="0" w:color="000000"/>
              <w:right w:val="single" w:sz="2" w:space="0" w:color="000000"/>
            </w:tcBorders>
          </w:tcPr>
          <w:p>
            <w:pPr/>
          </w:p>
        </w:tc>
      </w:tr>
      <w:tr>
        <w:trPr>
          <w:trHeight w:val="1884" w:hRule="exact"/>
        </w:trPr>
        <w:tc>
          <w:tcPr>
            <w:tcW w:w="2112" w:type="dxa"/>
            <w:tcBorders>
              <w:top w:val="single" w:sz="2" w:space="0" w:color="000000"/>
              <w:left w:val="single" w:sz="2" w:space="0" w:color="000000"/>
              <w:bottom w:val="single" w:sz="2" w:space="0" w:color="000000"/>
            </w:tcBorders>
          </w:tcPr>
          <w:p>
            <w:pPr>
              <w:pStyle w:val="TableParagraph"/>
              <w:ind w:right="337"/>
              <w:rPr>
                <w:sz w:val="20"/>
              </w:rPr>
            </w:pPr>
            <w:r>
              <w:rPr>
                <w:sz w:val="20"/>
              </w:rPr>
              <w:t>Trading Partner Main Account Code</w:t>
            </w:r>
          </w:p>
        </w:tc>
        <w:tc>
          <w:tcPr>
            <w:tcW w:w="1219" w:type="dxa"/>
          </w:tcPr>
          <w:p>
            <w:pPr>
              <w:pStyle w:val="TableParagraph"/>
              <w:spacing w:before="15"/>
              <w:ind w:left="7"/>
              <w:rPr>
                <w:sz w:val="20"/>
              </w:rPr>
            </w:pPr>
            <w:r>
              <w:rPr>
                <w:sz w:val="20"/>
              </w:rPr>
              <w:t>Trading Ptnr Main</w:t>
            </w:r>
          </w:p>
        </w:tc>
        <w:tc>
          <w:tcPr>
            <w:tcW w:w="4543" w:type="dxa"/>
            <w:tcBorders>
              <w:top w:val="single" w:sz="2" w:space="0" w:color="000000"/>
              <w:bottom w:val="single" w:sz="2" w:space="0" w:color="000000"/>
              <w:right w:val="single" w:sz="2" w:space="0" w:color="000000"/>
            </w:tcBorders>
          </w:tcPr>
          <w:p>
            <w:pPr>
              <w:pStyle w:val="TableParagraph"/>
              <w:ind w:left="7" w:right="63"/>
              <w:rPr>
                <w:sz w:val="20"/>
              </w:rPr>
            </w:pPr>
            <w:r>
              <w:rPr>
                <w:sz w:val="20"/>
              </w:rPr>
              <w:t>Represents the treasury main account code of the other department, agency, or establishment of the U. S. Government involved in transactions with the reporting entity. Required if the Fed/Non-Federal Indicator = F.</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 Blank is </w:t>
            </w:r>
            <w:r>
              <w:rPr>
                <w:w w:val="95"/>
                <w:sz w:val="20"/>
              </w:rPr>
              <w:t>Acceptable</w:t>
            </w:r>
          </w:p>
          <w:p>
            <w:pPr>
              <w:pStyle w:val="TableParagraph"/>
              <w:spacing w:before="0"/>
              <w:ind w:right="115"/>
              <w:rPr>
                <w:sz w:val="20"/>
              </w:rPr>
            </w:pPr>
            <w:r>
              <w:rPr>
                <w:sz w:val="20"/>
              </w:rPr>
              <w:t>#### - Trading Partner Account (Must be a valid main account for the trading partner.)</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4/N</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spacing w:line="229" w:lineRule="exact"/>
              <w:ind w:left="14"/>
              <w:rPr>
                <w:sz w:val="20"/>
              </w:rPr>
            </w:pPr>
            <w:r>
              <w:rPr>
                <w:sz w:val="20"/>
              </w:rPr>
              <w:t>FAST</w:t>
            </w:r>
          </w:p>
          <w:p>
            <w:pPr>
              <w:pStyle w:val="TableParagraph"/>
              <w:spacing w:line="229" w:lineRule="exact" w:before="0"/>
              <w:ind w:left="14"/>
              <w:rPr>
                <w:sz w:val="20"/>
              </w:rPr>
            </w:pPr>
            <w:r>
              <w:rPr>
                <w:sz w:val="20"/>
              </w:rPr>
              <w:t>Book</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r>
        <w:trPr>
          <w:trHeight w:val="1426" w:hRule="exact"/>
        </w:trPr>
        <w:tc>
          <w:tcPr>
            <w:tcW w:w="2112" w:type="dxa"/>
            <w:tcBorders>
              <w:top w:val="single" w:sz="2" w:space="0" w:color="000000"/>
              <w:left w:val="single" w:sz="2" w:space="0" w:color="000000"/>
              <w:bottom w:val="single" w:sz="2" w:space="0" w:color="000000"/>
            </w:tcBorders>
          </w:tcPr>
          <w:p>
            <w:pPr>
              <w:pStyle w:val="TableParagraph"/>
              <w:ind w:right="9"/>
              <w:rPr>
                <w:sz w:val="20"/>
              </w:rPr>
            </w:pPr>
            <w:r>
              <w:rPr>
                <w:sz w:val="20"/>
              </w:rPr>
              <w:t>Year of Budget Authority Indicator</w:t>
            </w:r>
          </w:p>
        </w:tc>
        <w:tc>
          <w:tcPr>
            <w:tcW w:w="1219" w:type="dxa"/>
          </w:tcPr>
          <w:p>
            <w:pPr>
              <w:pStyle w:val="TableParagraph"/>
              <w:spacing w:before="15"/>
              <w:ind w:left="7"/>
              <w:rPr>
                <w:sz w:val="20"/>
              </w:rPr>
            </w:pPr>
            <w:r>
              <w:rPr>
                <w:sz w:val="20"/>
              </w:rPr>
              <w:t>Year of BA</w:t>
            </w:r>
          </w:p>
        </w:tc>
        <w:tc>
          <w:tcPr>
            <w:tcW w:w="4543" w:type="dxa"/>
            <w:tcBorders>
              <w:top w:val="single" w:sz="2" w:space="0" w:color="000000"/>
              <w:bottom w:val="single" w:sz="2" w:space="0" w:color="000000"/>
              <w:right w:val="single" w:sz="2" w:space="0" w:color="000000"/>
            </w:tcBorders>
          </w:tcPr>
          <w:p>
            <w:pPr>
              <w:pStyle w:val="TableParagraph"/>
              <w:ind w:left="7" w:right="396"/>
              <w:rPr>
                <w:sz w:val="20"/>
              </w:rPr>
            </w:pPr>
            <w:r>
              <w:rPr>
                <w:sz w:val="20"/>
              </w:rPr>
              <w:t>Identifies whether outlays are from the new budget authority (NEW) or from budget authority carried forward from the prior year (BAL). Used for expenditure TAS that are not credit financing TAS.</w:t>
            </w:r>
          </w:p>
        </w:tc>
        <w:tc>
          <w:tcPr>
            <w:tcW w:w="1507"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BAL - Outlays from balances brought forward NEW - Outlays from new budget authority</w:t>
            </w:r>
          </w:p>
        </w:tc>
        <w:tc>
          <w:tcPr>
            <w:tcW w:w="1044"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3/A</w:t>
            </w:r>
          </w:p>
        </w:tc>
        <w:tc>
          <w:tcPr>
            <w:tcW w:w="917" w:type="dxa"/>
            <w:tcBorders>
              <w:top w:val="single" w:sz="2" w:space="0" w:color="000000"/>
              <w:left w:val="single" w:sz="2" w:space="0" w:color="000000"/>
              <w:bottom w:val="single" w:sz="2" w:space="0" w:color="000000"/>
              <w:right w:val="single" w:sz="2" w:space="0" w:color="000000"/>
            </w:tcBorders>
          </w:tcPr>
          <w:p>
            <w:pPr>
              <w:pStyle w:val="TableParagraph"/>
              <w:ind w:left="14"/>
              <w:rPr>
                <w:sz w:val="20"/>
              </w:rPr>
            </w:pPr>
            <w:r>
              <w:rPr>
                <w:sz w:val="20"/>
              </w:rPr>
              <w:t>OMB</w:t>
            </w:r>
          </w:p>
          <w:p>
            <w:pPr>
              <w:pStyle w:val="TableParagraph"/>
              <w:spacing w:before="0"/>
              <w:ind w:left="14" w:right="157"/>
              <w:rPr>
                <w:sz w:val="20"/>
              </w:rPr>
            </w:pPr>
            <w:r>
              <w:rPr>
                <w:sz w:val="20"/>
              </w:rPr>
              <w:t>Circ. No. A-11</w:t>
            </w:r>
          </w:p>
        </w:tc>
        <w:tc>
          <w:tcPr>
            <w:tcW w:w="958"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Bulk File</w:t>
            </w:r>
          </w:p>
        </w:tc>
      </w:tr>
    </w:tbl>
    <w:sectPr>
      <w:pgSz w:w="15840" w:h="12240" w:orient="landscape"/>
      <w:pgMar w:header="722" w:footer="748" w:top="1620" w:bottom="940" w:left="130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rPr>
    </w:pPr>
    <w:r>
      <w:rPr/>
      <w:pict>
        <v:shape style="position:absolute;margin-left:71pt;margin-top:563.583496pt;width:96.95pt;height:13.15pt;mso-position-horizontal-relative:page;mso-position-vertical-relative:page;z-index:-28456" type="#_x0000_t202" filled="false" stroked="false">
          <v:textbox inset="0,0,0,0">
            <w:txbxContent>
              <w:p>
                <w:pPr>
                  <w:pStyle w:val="BodyText"/>
                  <w:spacing w:before="12"/>
                  <w:ind w:left="20"/>
                </w:pPr>
                <w:r>
                  <w:rPr/>
                  <w:t>Bulletin No. 2016-05</w:t>
                </w:r>
              </w:p>
            </w:txbxContent>
          </v:textbox>
          <w10:wrap type="none"/>
        </v:shape>
      </w:pict>
    </w:r>
    <w:r>
      <w:rPr/>
      <w:pict>
        <v:shape style="position:absolute;margin-left:366.856842pt;margin-top:563.583496pt;width:51.45pt;height:13.15pt;mso-position-horizontal-relative:page;mso-position-vertical-relative:page;z-index:-28432" type="#_x0000_t202" filled="false" stroked="false">
          <v:textbox inset="0,0,0,0">
            <w:txbxContent>
              <w:p>
                <w:pPr>
                  <w:pStyle w:val="BodyText"/>
                  <w:spacing w:before="12"/>
                  <w:ind w:left="20"/>
                </w:pPr>
                <w:r>
                  <w:rPr/>
                  <w:t>IV ADR - </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646.976868pt;margin-top:563.583496pt;width:50.25pt;height:13.15pt;mso-position-horizontal-relative:page;mso-position-vertical-relative:page;z-index:-28408" type="#_x0000_t202" filled="false" stroked="false">
          <v:textbox inset="0,0,0,0">
            <w:txbxContent>
              <w:p>
                <w:pPr>
                  <w:pStyle w:val="BodyText"/>
                  <w:spacing w:before="12"/>
                  <w:ind w:left="20"/>
                </w:pPr>
                <w:r>
                  <w:rPr/>
                  <w:t>June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rPr>
    </w:pPr>
    <w:r>
      <w:rPr/>
      <w:pict>
        <v:shapetype id="_x0000_t202" o:spt="202" coordsize="21600,21600" path="m,l,21600r21600,l21600,xe">
          <v:stroke joinstyle="miter"/>
          <v:path gradientshapeok="t" o:connecttype="rect"/>
        </v:shapetype>
        <v:shape style="position:absolute;margin-left:71pt;margin-top:35.103477pt;width:29.75pt;height:13.15pt;mso-position-horizontal-relative:page;mso-position-vertical-relative:page;z-index:-28576" type="#_x0000_t202" filled="false" stroked="false">
          <v:textbox inset="0,0,0,0">
            <w:txbxContent>
              <w:p>
                <w:pPr>
                  <w:pStyle w:val="BodyText"/>
                  <w:spacing w:before="12"/>
                  <w:ind w:left="20"/>
                </w:pPr>
                <w:r>
                  <w:rPr/>
                  <w:t>Part 2</w:t>
                </w:r>
              </w:p>
            </w:txbxContent>
          </v:textbox>
          <w10:wrap type="none"/>
        </v:shape>
      </w:pict>
    </w:r>
    <w:r>
      <w:rPr/>
      <w:pict>
        <v:shape style="position:absolute;margin-left:554.826904pt;margin-top:35.103477pt;width:130.0500pt;height:13.15pt;mso-position-horizontal-relative:page;mso-position-vertical-relative:page;z-index:-28552" type="#_x0000_t202" filled="false" stroked="false">
          <v:textbox inset="0,0,0,0">
            <w:txbxContent>
              <w:p>
                <w:pPr>
                  <w:pStyle w:val="BodyText"/>
                  <w:spacing w:before="12"/>
                  <w:ind w:left="20"/>
                </w:pPr>
                <w:r>
                  <w:rPr/>
                  <w:t>Fiscal Year 2017 Reporting</w:t>
                </w:r>
              </w:p>
            </w:txbxContent>
          </v:textbox>
          <w10:wrap type="none"/>
        </v:shape>
      </w:pict>
    </w:r>
    <w:r>
      <w:rPr/>
      <w:pict>
        <v:shape style="position:absolute;margin-left:70.990044pt;margin-top:58.150917pt;width:70.3pt;height:13.15pt;mso-position-horizontal-relative:page;mso-position-vertical-relative:page;z-index:-28528" type="#_x0000_t202" filled="false" stroked="false">
          <v:textbox inset="0,0,0,0">
            <w:txbxContent>
              <w:p>
                <w:pPr>
                  <w:pStyle w:val="BodyText"/>
                  <w:spacing w:before="12"/>
                  <w:ind w:left="20"/>
                </w:pPr>
                <w:r>
                  <w:rPr/>
                  <w:t>SUPPLEMENT</w:t>
                </w:r>
              </w:p>
            </w:txbxContent>
          </v:textbox>
          <w10:wrap type="none"/>
        </v:shape>
      </w:pict>
    </w:r>
    <w:r>
      <w:rPr/>
      <w:pict>
        <v:shape style="position:absolute;margin-left:628.989075pt;margin-top:58.150917pt;width:50.3pt;height:13.15pt;mso-position-horizontal-relative:page;mso-position-vertical-relative:page;z-index:-28504" type="#_x0000_t202" filled="false" stroked="false">
          <v:textbox inset="0,0,0,0">
            <w:txbxContent>
              <w:p>
                <w:pPr>
                  <w:pStyle w:val="BodyText"/>
                  <w:spacing w:before="12"/>
                  <w:ind w:left="20"/>
                </w:pPr>
                <w:r>
                  <w:rPr/>
                  <w:t>Section IV</w:t>
                </w:r>
              </w:p>
            </w:txbxContent>
          </v:textbox>
          <w10:wrap type="none"/>
        </v:shape>
      </w:pict>
    </w:r>
    <w:r>
      <w:rPr/>
      <w:pict>
        <v:shape style="position:absolute;margin-left:269.701996pt;margin-top:69.555115pt;width:252.55pt;height:13.15pt;mso-position-horizontal-relative:page;mso-position-vertical-relative:page;z-index:-28480" type="#_x0000_t202" filled="false" stroked="false">
          <v:textbox inset="0,0,0,0">
            <w:txbxContent>
              <w:p>
                <w:pPr>
                  <w:pStyle w:val="BodyText"/>
                  <w:spacing w:before="12"/>
                  <w:ind w:left="20"/>
                </w:pPr>
                <w:r>
                  <w:rPr/>
                  <w:t>USSGL ACCOUNT ATTRIBUTE DEFINITION REPORT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5"/>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9"/>
      <w:ind w:left="12"/>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Marlana White</dc:creator>
  <dc:title>Section IV: USSGL Account Attribute Definition Report 2017</dc:title>
  <dcterms:created xsi:type="dcterms:W3CDTF">2017-06-13T09:42:14Z</dcterms:created>
  <dcterms:modified xsi:type="dcterms:W3CDTF">2017-06-13T09:42:14Z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Acrobat PDFMaker 11 for Word</vt:lpwstr>
  </property>
  <property fmtid="{D5CDD505-2E9C-101B-9397-08002B2CF9AE}" pid="4" name="LastSaved">
    <vt:filetime>2017-06-13T00:00:00Z</vt:filetime>
  </property>
</Properties>
</file>