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6904" w:val="left" w:leader="none"/>
        </w:tabs>
        <w:spacing w:before="75"/>
        <w:ind w:firstLine="0"/>
        <w:rPr>
          <w:rFonts w:ascii="Arial"/>
        </w:rPr>
      </w:pPr>
      <w:r>
        <w:rPr>
          <w:rFonts w:ascii="Arial"/>
          <w:color w:val="231F20"/>
        </w:rPr>
        <w:t>Part 1</w:t>
        <w:tab/>
        <w:t>Fiscal Year 2016</w:t>
      </w:r>
      <w:r>
        <w:rPr>
          <w:rFonts w:ascii="Arial"/>
          <w:color w:val="231F20"/>
          <w:spacing w:val="-14"/>
        </w:rPr>
        <w:t> </w:t>
      </w:r>
      <w:r>
        <w:rPr>
          <w:rFonts w:ascii="Arial"/>
          <w:color w:val="231F20"/>
        </w:rPr>
        <w:t>Reporting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tabs>
          <w:tab w:pos="8514" w:val="left" w:leader="none"/>
        </w:tabs>
        <w:spacing w:before="0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SUPPLEMENT</w:t>
        <w:tab/>
        <w:t>Section</w:t>
      </w:r>
      <w:r>
        <w:rPr>
          <w:rFonts w:ascii="Arial"/>
          <w:b/>
          <w:color w:val="231F20"/>
          <w:spacing w:val="-6"/>
          <w:sz w:val="20"/>
        </w:rPr>
        <w:t> </w:t>
      </w:r>
      <w:r>
        <w:rPr>
          <w:rFonts w:ascii="Arial"/>
          <w:b/>
          <w:color w:val="231F20"/>
          <w:sz w:val="20"/>
        </w:rPr>
        <w:t>III</w:t>
      </w:r>
    </w:p>
    <w:p>
      <w:pPr>
        <w:spacing w:line="302" w:lineRule="auto" w:before="43"/>
        <w:ind w:left="3256" w:right="2567" w:firstLine="122"/>
        <w:jc w:val="left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U.S. Standard General Ledger Account Transaction Categories</w:t>
      </w:r>
    </w:p>
    <w:p>
      <w:pPr>
        <w:pStyle w:val="BodyText"/>
        <w:spacing w:before="2"/>
        <w:ind w:left="0"/>
        <w:rPr>
          <w:rFonts w:ascii="Arial"/>
          <w:b/>
          <w:sz w:val="19"/>
        </w:rPr>
      </w:pPr>
    </w:p>
    <w:p>
      <w:pPr>
        <w:spacing w:before="89"/>
        <w:ind w:left="100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TRANSACTION</w:t>
      </w:r>
    </w:p>
    <w:p>
      <w:pPr>
        <w:tabs>
          <w:tab w:pos="3481" w:val="left" w:leader="none"/>
        </w:tabs>
        <w:spacing w:before="1"/>
        <w:ind w:left="731" w:right="0" w:firstLine="0"/>
        <w:jc w:val="left"/>
        <w:rPr>
          <w:b/>
          <w:sz w:val="28"/>
        </w:rPr>
      </w:pPr>
      <w:r>
        <w:rPr>
          <w:b/>
          <w:color w:val="231F20"/>
          <w:sz w:val="28"/>
          <w:u w:val="thick" w:color="231F20"/>
        </w:rPr>
        <w:t>CODE</w:t>
      </w:r>
      <w:r>
        <w:rPr>
          <w:b/>
          <w:color w:val="231F20"/>
          <w:sz w:val="28"/>
        </w:rPr>
        <w:tab/>
      </w:r>
      <w:r>
        <w:rPr>
          <w:b/>
          <w:color w:val="231F20"/>
          <w:sz w:val="28"/>
          <w:u w:val="thick" w:color="231F20"/>
        </w:rPr>
        <w:t>TRANSACTION</w:t>
      </w:r>
      <w:r>
        <w:rPr>
          <w:b/>
          <w:color w:val="231F20"/>
          <w:spacing w:val="-2"/>
          <w:sz w:val="28"/>
          <w:u w:val="thick" w:color="231F20"/>
        </w:rPr>
        <w:t> </w:t>
      </w:r>
      <w:r>
        <w:rPr>
          <w:b/>
          <w:color w:val="231F20"/>
          <w:sz w:val="28"/>
          <w:u w:val="thick" w:color="231F20"/>
        </w:rPr>
        <w:t>DESCRIPTION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91" w:after="0"/>
        <w:ind w:left="344" w:right="0" w:hanging="244"/>
        <w:jc w:val="left"/>
        <w:rPr>
          <w:b/>
          <w:sz w:val="20"/>
        </w:rPr>
      </w:pPr>
      <w:r>
        <w:rPr>
          <w:b/>
          <w:color w:val="231F20"/>
          <w:sz w:val="20"/>
        </w:rPr>
        <w:t>Funding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100 -</w:t>
      </w:r>
      <w:r>
        <w:rPr>
          <w:color w:val="231F20"/>
          <w:spacing w:val="-3"/>
        </w:rPr>
        <w:t> </w:t>
      </w:r>
      <w:r>
        <w:rPr>
          <w:color w:val="231F20"/>
        </w:rPr>
        <w:t>399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Budgetary Resources Other Than</w:t>
      </w:r>
      <w:r>
        <w:rPr>
          <w:color w:val="231F20"/>
          <w:spacing w:val="-17"/>
        </w:rPr>
        <w:t> </w:t>
      </w:r>
      <w:r>
        <w:rPr>
          <w:color w:val="231F20"/>
        </w:rPr>
        <w:t>Collections</w:t>
      </w:r>
    </w:p>
    <w:p>
      <w:pPr>
        <w:pStyle w:val="BodyText"/>
        <w:tabs>
          <w:tab w:pos="2439" w:val="left" w:leader="none"/>
          <w:tab w:pos="2759" w:val="left" w:leader="none"/>
        </w:tabs>
        <w:spacing w:before="58"/>
      </w:pPr>
      <w:r>
        <w:rPr>
          <w:color w:val="231F20"/>
        </w:rPr>
        <w:t>400 -</w:t>
      </w:r>
      <w:r>
        <w:rPr>
          <w:color w:val="231F20"/>
          <w:spacing w:val="-3"/>
        </w:rPr>
        <w:t> </w:t>
      </w:r>
      <w:r>
        <w:rPr>
          <w:color w:val="231F20"/>
        </w:rPr>
        <w:t>699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Authority</w:t>
      </w:r>
      <w:r>
        <w:rPr>
          <w:color w:val="231F20"/>
          <w:spacing w:val="-10"/>
        </w:rPr>
        <w:t> </w:t>
      </w:r>
      <w:r>
        <w:rPr>
          <w:color w:val="231F20"/>
        </w:rPr>
        <w:t>Transfers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700 -</w:t>
      </w:r>
      <w:r>
        <w:rPr>
          <w:color w:val="231F20"/>
          <w:spacing w:val="-3"/>
        </w:rPr>
        <w:t> </w:t>
      </w:r>
      <w:r>
        <w:rPr>
          <w:color w:val="231F20"/>
        </w:rPr>
        <w:t>799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Reimbursables and Other</w:t>
      </w:r>
      <w:r>
        <w:rPr>
          <w:color w:val="231F20"/>
          <w:spacing w:val="-16"/>
        </w:rPr>
        <w:t> </w:t>
      </w:r>
      <w:r>
        <w:rPr>
          <w:color w:val="231F20"/>
        </w:rPr>
        <w:t>Income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35" w:val="left" w:leader="none"/>
        </w:tabs>
        <w:spacing w:line="240" w:lineRule="auto" w:before="128" w:after="0"/>
        <w:ind w:left="334" w:right="0" w:hanging="234"/>
        <w:jc w:val="left"/>
      </w:pPr>
      <w:r>
        <w:rPr>
          <w:color w:val="231F20"/>
        </w:rPr>
        <w:t>Disbursements and</w:t>
      </w:r>
      <w:r>
        <w:rPr>
          <w:color w:val="231F20"/>
          <w:spacing w:val="-14"/>
        </w:rPr>
        <w:t> </w:t>
      </w:r>
      <w:r>
        <w:rPr>
          <w:color w:val="231F20"/>
        </w:rPr>
        <w:t>Payables</w:t>
      </w:r>
    </w:p>
    <w:p>
      <w:pPr>
        <w:pStyle w:val="BodyText"/>
        <w:tabs>
          <w:tab w:pos="2439" w:val="left" w:leader="none"/>
          <w:tab w:pos="2759" w:val="left" w:leader="none"/>
        </w:tabs>
        <w:spacing w:before="59"/>
      </w:pPr>
      <w:r>
        <w:rPr>
          <w:color w:val="231F20"/>
        </w:rPr>
        <w:t>100 -</w:t>
      </w:r>
      <w:r>
        <w:rPr>
          <w:color w:val="231F20"/>
          <w:spacing w:val="-3"/>
        </w:rPr>
        <w:t> </w:t>
      </w:r>
      <w:r>
        <w:rPr>
          <w:color w:val="231F20"/>
        </w:rPr>
        <w:t>299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Payments/Purchases</w:t>
      </w:r>
    </w:p>
    <w:p>
      <w:pPr>
        <w:pStyle w:val="BodyText"/>
        <w:tabs>
          <w:tab w:pos="2439" w:val="left" w:leader="none"/>
          <w:tab w:pos="2759" w:val="left" w:leader="none"/>
        </w:tabs>
        <w:spacing w:line="302" w:lineRule="auto" w:before="59"/>
        <w:ind w:right="1589"/>
      </w:pPr>
      <w:r>
        <w:rPr>
          <w:color w:val="231F20"/>
        </w:rPr>
        <w:t>300 -</w:t>
      </w:r>
      <w:r>
        <w:rPr>
          <w:color w:val="231F20"/>
          <w:spacing w:val="-3"/>
        </w:rPr>
        <w:t> </w:t>
      </w:r>
      <w:r>
        <w:rPr>
          <w:color w:val="231F20"/>
        </w:rPr>
        <w:t>399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Commitments/Undelivered Orders/Expended Authority</w:t>
      </w:r>
      <w:r>
        <w:rPr>
          <w:color w:val="231F20"/>
          <w:spacing w:val="-24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</w:rPr>
        <w:t>Unpaid</w:t>
      </w:r>
      <w:r>
        <w:rPr>
          <w:color w:val="231F20"/>
          <w:w w:val="99"/>
        </w:rPr>
        <w:t> </w:t>
      </w:r>
      <w:r>
        <w:rPr>
          <w:color w:val="231F20"/>
        </w:rPr>
        <w:t>400 -</w:t>
      </w:r>
      <w:r>
        <w:rPr>
          <w:color w:val="231F20"/>
          <w:spacing w:val="-3"/>
        </w:rPr>
        <w:t> </w:t>
      </w:r>
      <w:r>
        <w:rPr>
          <w:color w:val="231F20"/>
        </w:rPr>
        <w:t>599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Payables/Accrued</w:t>
      </w:r>
      <w:r>
        <w:rPr>
          <w:color w:val="231F20"/>
          <w:spacing w:val="-10"/>
        </w:rPr>
        <w:t> </w:t>
      </w:r>
      <w:r>
        <w:rPr>
          <w:color w:val="231F20"/>
        </w:rPr>
        <w:t>Liabilities</w:t>
      </w:r>
    </w:p>
    <w:p>
      <w:pPr>
        <w:pStyle w:val="BodyText"/>
        <w:tabs>
          <w:tab w:pos="2439" w:val="left" w:leader="none"/>
          <w:tab w:pos="2759" w:val="left" w:leader="none"/>
        </w:tabs>
        <w:spacing w:before="2"/>
      </w:pPr>
      <w:r>
        <w:rPr>
          <w:color w:val="231F20"/>
        </w:rPr>
        <w:t>600 -</w:t>
      </w:r>
      <w:r>
        <w:rPr>
          <w:color w:val="231F20"/>
          <w:spacing w:val="-3"/>
        </w:rPr>
        <w:t> </w:t>
      </w:r>
      <w:r>
        <w:rPr>
          <w:color w:val="231F20"/>
        </w:rPr>
        <w:t>699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Advances and</w:t>
      </w:r>
      <w:r>
        <w:rPr>
          <w:color w:val="231F20"/>
          <w:spacing w:val="-15"/>
        </w:rPr>
        <w:t> </w:t>
      </w:r>
      <w:r>
        <w:rPr>
          <w:color w:val="231F20"/>
        </w:rPr>
        <w:t>Prepayments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45" w:val="left" w:leader="none"/>
        </w:tabs>
        <w:spacing w:line="240" w:lineRule="auto" w:before="129" w:after="0"/>
        <w:ind w:left="344" w:right="0" w:hanging="244"/>
        <w:jc w:val="left"/>
      </w:pPr>
      <w:r>
        <w:rPr>
          <w:color w:val="231F20"/>
        </w:rPr>
        <w:t>Collections and</w:t>
      </w:r>
      <w:r>
        <w:rPr>
          <w:color w:val="231F20"/>
          <w:spacing w:val="-9"/>
        </w:rPr>
        <w:t> </w:t>
      </w:r>
      <w:r>
        <w:rPr>
          <w:color w:val="231F20"/>
        </w:rPr>
        <w:t>Receivables</w:t>
      </w:r>
    </w:p>
    <w:p>
      <w:pPr>
        <w:pStyle w:val="BodyText"/>
        <w:tabs>
          <w:tab w:pos="2439" w:val="left" w:leader="none"/>
          <w:tab w:pos="2759" w:val="left" w:leader="none"/>
        </w:tabs>
        <w:spacing w:before="58"/>
      </w:pPr>
      <w:r>
        <w:rPr>
          <w:color w:val="231F20"/>
        </w:rPr>
        <w:t>100 -</w:t>
      </w:r>
      <w:r>
        <w:rPr>
          <w:color w:val="231F20"/>
          <w:spacing w:val="-3"/>
        </w:rPr>
        <w:t> </w:t>
      </w:r>
      <w:r>
        <w:rPr>
          <w:color w:val="231F20"/>
        </w:rPr>
        <w:t>399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Receipts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400 -</w:t>
      </w:r>
      <w:r>
        <w:rPr>
          <w:color w:val="231F20"/>
          <w:spacing w:val="-3"/>
        </w:rPr>
        <w:t> </w:t>
      </w:r>
      <w:r>
        <w:rPr>
          <w:color w:val="231F20"/>
        </w:rPr>
        <w:t>599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Receivables/Accrued</w:t>
      </w:r>
      <w:r>
        <w:rPr>
          <w:color w:val="231F20"/>
          <w:spacing w:val="-18"/>
        </w:rPr>
        <w:t> </w:t>
      </w:r>
      <w:r>
        <w:rPr>
          <w:color w:val="231F20"/>
        </w:rPr>
        <w:t>Revenue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600 -</w:t>
      </w:r>
      <w:r>
        <w:rPr>
          <w:color w:val="231F20"/>
          <w:spacing w:val="-3"/>
        </w:rPr>
        <w:t> </w:t>
      </w:r>
      <w:r>
        <w:rPr>
          <w:color w:val="231F20"/>
        </w:rPr>
        <w:t>799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Asset Sale and Disposition (Gains and</w:t>
      </w:r>
      <w:r>
        <w:rPr>
          <w:color w:val="231F20"/>
          <w:spacing w:val="-12"/>
        </w:rPr>
        <w:t> </w:t>
      </w:r>
      <w:r>
        <w:rPr>
          <w:color w:val="231F20"/>
        </w:rPr>
        <w:t>Losses)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45" w:val="left" w:leader="none"/>
        </w:tabs>
        <w:spacing w:line="240" w:lineRule="auto" w:before="129" w:after="0"/>
        <w:ind w:left="344" w:right="0" w:hanging="244"/>
        <w:jc w:val="left"/>
      </w:pPr>
      <w:r>
        <w:rPr>
          <w:color w:val="231F20"/>
        </w:rPr>
        <w:t>Adjustments/Writeoffs/Reclassification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100 -</w:t>
      </w:r>
      <w:r>
        <w:rPr>
          <w:color w:val="231F20"/>
          <w:spacing w:val="-3"/>
        </w:rPr>
        <w:t> </w:t>
      </w:r>
      <w:r>
        <w:rPr>
          <w:color w:val="231F20"/>
        </w:rPr>
        <w:t>299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Upward and Downward</w:t>
      </w:r>
      <w:r>
        <w:rPr>
          <w:color w:val="231F20"/>
          <w:spacing w:val="-16"/>
        </w:rPr>
        <w:t> </w:t>
      </w:r>
      <w:r>
        <w:rPr>
          <w:color w:val="231F20"/>
        </w:rPr>
        <w:t>Adjustments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300 -</w:t>
      </w:r>
      <w:r>
        <w:rPr>
          <w:color w:val="231F20"/>
          <w:spacing w:val="-3"/>
        </w:rPr>
        <w:t> </w:t>
      </w:r>
      <w:r>
        <w:rPr>
          <w:color w:val="231F20"/>
        </w:rPr>
        <w:t>399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Prior-Period</w:t>
      </w:r>
      <w:r>
        <w:rPr>
          <w:color w:val="231F20"/>
          <w:spacing w:val="-16"/>
        </w:rPr>
        <w:t> </w:t>
      </w:r>
      <w:r>
        <w:rPr>
          <w:color w:val="231F20"/>
        </w:rPr>
        <w:t>Adjustments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400 -</w:t>
      </w:r>
      <w:r>
        <w:rPr>
          <w:color w:val="231F20"/>
          <w:spacing w:val="-3"/>
        </w:rPr>
        <w:t> </w:t>
      </w:r>
      <w:r>
        <w:rPr>
          <w:color w:val="231F20"/>
        </w:rPr>
        <w:t>499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Writeoffs</w:t>
      </w:r>
    </w:p>
    <w:p>
      <w:pPr>
        <w:pStyle w:val="BodyText"/>
        <w:tabs>
          <w:tab w:pos="2439" w:val="left" w:leader="none"/>
          <w:tab w:pos="2759" w:val="left" w:leader="none"/>
        </w:tabs>
        <w:spacing w:before="57"/>
      </w:pPr>
      <w:r>
        <w:rPr>
          <w:color w:val="231F20"/>
        </w:rPr>
        <w:t>500 -</w:t>
      </w:r>
      <w:r>
        <w:rPr>
          <w:color w:val="231F20"/>
          <w:spacing w:val="-3"/>
        </w:rPr>
        <w:t> </w:t>
      </w:r>
      <w:r>
        <w:rPr>
          <w:color w:val="231F20"/>
        </w:rPr>
        <w:t>799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Reclassification/Revaluation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33" w:val="left" w:leader="none"/>
        </w:tabs>
        <w:spacing w:line="240" w:lineRule="auto" w:before="128" w:after="0"/>
        <w:ind w:left="332" w:right="0" w:hanging="232"/>
        <w:jc w:val="left"/>
      </w:pPr>
      <w:r>
        <w:rPr>
          <w:color w:val="231F20"/>
        </w:rPr>
        <w:t>Accruals/Nonbudgetary Transfers Other Than Disbursements and</w:t>
      </w:r>
      <w:r>
        <w:rPr>
          <w:color w:val="231F20"/>
          <w:spacing w:val="-29"/>
        </w:rPr>
        <w:t> </w:t>
      </w:r>
      <w:r>
        <w:rPr>
          <w:color w:val="231F20"/>
        </w:rPr>
        <w:t>Collections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100 -</w:t>
      </w:r>
      <w:r>
        <w:rPr>
          <w:color w:val="231F20"/>
          <w:spacing w:val="-3"/>
        </w:rPr>
        <w:t> </w:t>
      </w:r>
      <w:r>
        <w:rPr>
          <w:color w:val="231F20"/>
        </w:rPr>
        <w:t>399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Accrual, Depreciation, Amortization, and</w:t>
      </w:r>
      <w:r>
        <w:rPr>
          <w:color w:val="231F20"/>
          <w:spacing w:val="-16"/>
        </w:rPr>
        <w:t> </w:t>
      </w:r>
      <w:r>
        <w:rPr>
          <w:color w:val="231F20"/>
        </w:rPr>
        <w:t>Depletion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400 -</w:t>
      </w:r>
      <w:r>
        <w:rPr>
          <w:color w:val="231F20"/>
          <w:spacing w:val="-3"/>
        </w:rPr>
        <w:t> </w:t>
      </w:r>
      <w:r>
        <w:rPr>
          <w:color w:val="231F20"/>
        </w:rPr>
        <w:t>499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Accumulated and Allocated Costs Not in Categories</w:t>
      </w:r>
      <w:r>
        <w:rPr>
          <w:color w:val="231F20"/>
          <w:spacing w:val="-17"/>
        </w:rPr>
        <w:t> </w:t>
      </w:r>
      <w:r>
        <w:rPr>
          <w:color w:val="231F20"/>
        </w:rPr>
        <w:t>Above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500 -</w:t>
      </w:r>
      <w:r>
        <w:rPr>
          <w:color w:val="231F20"/>
          <w:spacing w:val="-3"/>
        </w:rPr>
        <w:t> </w:t>
      </w:r>
      <w:r>
        <w:rPr>
          <w:color w:val="231F20"/>
        </w:rPr>
        <w:t>799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Transfers Without Budgetary</w:t>
      </w:r>
      <w:r>
        <w:rPr>
          <w:color w:val="231F20"/>
          <w:spacing w:val="-18"/>
        </w:rPr>
        <w:t> </w:t>
      </w:r>
      <w:r>
        <w:rPr>
          <w:color w:val="231F20"/>
        </w:rPr>
        <w:t>Impact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23" w:val="left" w:leader="none"/>
        </w:tabs>
        <w:spacing w:line="240" w:lineRule="auto" w:before="129" w:after="0"/>
        <w:ind w:left="322" w:right="0" w:hanging="222"/>
        <w:jc w:val="left"/>
      </w:pPr>
      <w:r>
        <w:rPr>
          <w:color w:val="231F20"/>
        </w:rPr>
        <w:t>Yearend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100 -</w:t>
      </w:r>
      <w:r>
        <w:rPr>
          <w:color w:val="231F20"/>
          <w:spacing w:val="-3"/>
        </w:rPr>
        <w:t> </w:t>
      </w:r>
      <w:r>
        <w:rPr>
          <w:color w:val="231F20"/>
        </w:rPr>
        <w:t>299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Preclosing</w:t>
      </w:r>
      <w:r>
        <w:rPr>
          <w:color w:val="231F20"/>
          <w:spacing w:val="-7"/>
        </w:rPr>
        <w:t> </w:t>
      </w:r>
      <w:r>
        <w:rPr>
          <w:color w:val="231F20"/>
        </w:rPr>
        <w:t>Entries</w:t>
      </w:r>
    </w:p>
    <w:p>
      <w:pPr>
        <w:pStyle w:val="BodyText"/>
        <w:tabs>
          <w:tab w:pos="2439" w:val="left" w:leader="none"/>
          <w:tab w:pos="2759" w:val="left" w:leader="none"/>
        </w:tabs>
        <w:spacing w:before="57"/>
      </w:pPr>
      <w:r>
        <w:rPr>
          <w:color w:val="231F20"/>
        </w:rPr>
        <w:t>300 -</w:t>
      </w:r>
      <w:r>
        <w:rPr>
          <w:color w:val="231F20"/>
          <w:spacing w:val="-3"/>
        </w:rPr>
        <w:t> </w:t>
      </w:r>
      <w:r>
        <w:rPr>
          <w:color w:val="231F20"/>
        </w:rPr>
        <w:t>499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Closing</w:t>
      </w:r>
      <w:r>
        <w:rPr>
          <w:color w:val="231F20"/>
          <w:spacing w:val="-10"/>
        </w:rPr>
        <w:t> </w:t>
      </w:r>
      <w:r>
        <w:rPr>
          <w:color w:val="231F20"/>
        </w:rPr>
        <w:t>Entries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56" w:val="left" w:leader="none"/>
        </w:tabs>
        <w:spacing w:line="240" w:lineRule="auto" w:before="128" w:after="0"/>
        <w:ind w:left="355" w:right="0" w:hanging="255"/>
        <w:jc w:val="left"/>
      </w:pPr>
      <w:r>
        <w:rPr>
          <w:color w:val="231F20"/>
        </w:rPr>
        <w:t>Memorandum</w:t>
      </w:r>
      <w:r>
        <w:rPr>
          <w:color w:val="231F20"/>
          <w:spacing w:val="-12"/>
        </w:rPr>
        <w:t> </w:t>
      </w:r>
      <w:r>
        <w:rPr>
          <w:color w:val="231F20"/>
        </w:rPr>
        <w:t>Entries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100 -</w:t>
      </w:r>
      <w:r>
        <w:rPr>
          <w:color w:val="231F20"/>
          <w:spacing w:val="-3"/>
        </w:rPr>
        <w:t> </w:t>
      </w:r>
      <w:r>
        <w:rPr>
          <w:color w:val="231F20"/>
        </w:rPr>
        <w:t>299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All Memorandum Entries (Excluding Closing Memorandum</w:t>
      </w:r>
      <w:r>
        <w:rPr>
          <w:color w:val="231F20"/>
          <w:spacing w:val="-23"/>
        </w:rPr>
        <w:t> </w:t>
      </w:r>
      <w:r>
        <w:rPr>
          <w:color w:val="231F20"/>
        </w:rPr>
        <w:t>Entries)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57" w:val="left" w:leader="none"/>
        </w:tabs>
        <w:spacing w:line="240" w:lineRule="auto" w:before="129" w:after="0"/>
        <w:ind w:left="356" w:right="0" w:hanging="256"/>
        <w:jc w:val="left"/>
      </w:pPr>
      <w:r>
        <w:rPr>
          <w:color w:val="231F20"/>
        </w:rPr>
        <w:t>Other Specialized Transaction</w:t>
      </w:r>
      <w:r>
        <w:rPr>
          <w:color w:val="231F20"/>
          <w:spacing w:val="-15"/>
        </w:rPr>
        <w:t> </w:t>
      </w:r>
      <w:r>
        <w:rPr>
          <w:color w:val="231F20"/>
        </w:rPr>
        <w:t>Entries</w:t>
      </w:r>
    </w:p>
    <w:p>
      <w:pPr>
        <w:pStyle w:val="BodyText"/>
        <w:tabs>
          <w:tab w:pos="2439" w:val="left" w:leader="none"/>
          <w:tab w:pos="2759" w:val="left" w:leader="none"/>
        </w:tabs>
      </w:pPr>
      <w:r>
        <w:rPr>
          <w:color w:val="231F20"/>
        </w:rPr>
        <w:t>100 -</w:t>
      </w:r>
      <w:r>
        <w:rPr>
          <w:color w:val="231F20"/>
          <w:spacing w:val="-3"/>
        </w:rPr>
        <w:t> </w:t>
      </w:r>
      <w:r>
        <w:rPr>
          <w:color w:val="231F20"/>
        </w:rPr>
        <w:t>799</w:t>
        <w:tab/>
      </w:r>
      <w:r>
        <w:rPr>
          <w:b/>
          <w:color w:val="231F20"/>
        </w:rPr>
        <w:t>.</w:t>
        <w:tab/>
      </w:r>
      <w:r>
        <w:rPr>
          <w:color w:val="231F20"/>
        </w:rPr>
        <w:t>Other</w:t>
      </w:r>
    </w:p>
    <w:p>
      <w:pPr>
        <w:pStyle w:val="BodyText"/>
        <w:spacing w:before="0"/>
        <w:ind w:left="0"/>
      </w:pP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2"/>
        <w:tabs>
          <w:tab w:pos="4379" w:val="left" w:leader="none"/>
          <w:tab w:pos="8491" w:val="left" w:leader="none"/>
        </w:tabs>
        <w:spacing w:before="93"/>
        <w:ind w:firstLine="0"/>
        <w:rPr>
          <w:rFonts w:ascii="Arial"/>
        </w:rPr>
      </w:pPr>
      <w:r>
        <w:rPr>
          <w:rFonts w:ascii="Arial"/>
          <w:color w:val="231F20"/>
        </w:rPr>
        <w:t>Bulletin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No.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2016-05</w:t>
        <w:tab/>
        <w:t>III </w:t>
      </w:r>
      <w:r>
        <w:rPr>
          <w:rFonts w:ascii="Arial"/>
          <w:color w:val="231F20"/>
          <w:spacing w:val="-3"/>
        </w:rPr>
        <w:t>AC</w:t>
      </w:r>
      <w:r>
        <w:rPr>
          <w:rFonts w:ascii="Arial"/>
          <w:color w:val="231F20"/>
          <w:spacing w:val="2"/>
        </w:rPr>
        <w:t> </w:t>
      </w:r>
      <w:r>
        <w:rPr>
          <w:rFonts w:ascii="Arial"/>
          <w:color w:val="231F20"/>
        </w:rPr>
        <w:t>-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1</w:t>
        <w:tab/>
        <w:t>June</w:t>
      </w:r>
      <w:r>
        <w:rPr>
          <w:rFonts w:ascii="Arial"/>
          <w:color w:val="231F20"/>
          <w:spacing w:val="-3"/>
        </w:rPr>
        <w:t> </w:t>
      </w:r>
      <w:r>
        <w:rPr>
          <w:rFonts w:ascii="Arial"/>
          <w:color w:val="231F20"/>
        </w:rPr>
        <w:t>2016</w:t>
      </w:r>
    </w:p>
    <w:sectPr>
      <w:type w:val="continuous"/>
      <w:pgSz w:w="12240" w:h="15840"/>
      <w:pgMar w:top="640" w:bottom="280" w:left="17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344" w:hanging="245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262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4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6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60"/>
      <w:ind w:left="100"/>
    </w:pPr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</w:rPr>
  </w:style>
  <w:style w:styleId="Heading2" w:type="paragraph">
    <w:name w:val="Heading 2"/>
    <w:basedOn w:val="Normal"/>
    <w:uiPriority w:val="1"/>
    <w:qFormat/>
    <w:pPr>
      <w:spacing w:before="129"/>
      <w:ind w:left="100" w:hanging="244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29"/>
      <w:ind w:left="344" w:hanging="24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L. Wages</dc:creator>
  <dc:title>Section III: Transaction Categories 2016</dc:title>
  <dcterms:created xsi:type="dcterms:W3CDTF">2017-06-13T09:14:53Z</dcterms:created>
  <dcterms:modified xsi:type="dcterms:W3CDTF">2017-06-13T09:14:53Z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2017-06-13T00:00:00Z</vt:filetime>
  </property>
</Properties>
</file>