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4" w:val="left" w:leader="none"/>
        </w:tabs>
        <w:spacing w:before="69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10"/>
          <w:sz w:val="20"/>
        </w:rPr>
        <w:t>1</w:t>
      </w:r>
      <w:r>
        <w:rPr>
          <w:rFonts w:ascii="Arial"/>
          <w:b/>
          <w:sz w:val="20"/>
        </w:rPr>
        <w:tab/>
        <w:t>Fiscal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Year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Reporting</w:t>
      </w:r>
    </w:p>
    <w:p>
      <w:pPr>
        <w:tabs>
          <w:tab w:pos="7797" w:val="left" w:leader="none"/>
        </w:tabs>
        <w:spacing w:before="13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SUPPLEMENT</w:t>
      </w:r>
      <w:r>
        <w:rPr>
          <w:rFonts w:ascii="Arial"/>
          <w:b/>
          <w:sz w:val="20"/>
        </w:rPr>
        <w:tab/>
        <w:t>Section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5"/>
          <w:sz w:val="20"/>
        </w:rPr>
        <w:t>III</w:t>
      </w:r>
    </w:p>
    <w:p>
      <w:pPr>
        <w:spacing w:line="300" w:lineRule="auto" w:before="29"/>
        <w:ind w:left="2881" w:right="2686" w:firstLine="12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U.S. Standard General Ledger Account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Transaction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Categories</w:t>
      </w:r>
    </w:p>
    <w:p>
      <w:pPr>
        <w:spacing w:before="62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TRANSACTION</w:t>
      </w:r>
    </w:p>
    <w:p>
      <w:pPr>
        <w:tabs>
          <w:tab w:pos="1435" w:val="left" w:leader="none"/>
        </w:tabs>
        <w:spacing w:before="47"/>
        <w:ind w:left="4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4"/>
          <w:sz w:val="16"/>
          <w:u w:val="single"/>
        </w:rPr>
        <w:t>CODE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95"/>
          <w:sz w:val="16"/>
          <w:u w:val="single"/>
        </w:rPr>
        <w:t>TRANSACTION</w:t>
      </w:r>
      <w:r>
        <w:rPr>
          <w:rFonts w:ascii="Arial"/>
          <w:b/>
          <w:spacing w:val="43"/>
          <w:sz w:val="16"/>
          <w:u w:val="single"/>
        </w:rPr>
        <w:t> </w:t>
      </w:r>
      <w:r>
        <w:rPr>
          <w:rFonts w:ascii="Arial"/>
          <w:b/>
          <w:spacing w:val="-2"/>
          <w:sz w:val="16"/>
          <w:u w:val="single"/>
        </w:rPr>
        <w:t>DESCRIPTION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484" w:right="0" w:hanging="246"/>
        <w:jc w:val="left"/>
        <w:rPr>
          <w:b/>
          <w:sz w:val="20"/>
        </w:rPr>
      </w:pPr>
      <w:r>
        <w:rPr>
          <w:b/>
          <w:spacing w:val="-2"/>
          <w:sz w:val="20"/>
        </w:rPr>
        <w:t>Funding</w:t>
      </w:r>
    </w:p>
    <w:p>
      <w:pPr>
        <w:pStyle w:val="BodyText"/>
        <w:tabs>
          <w:tab w:pos="1401" w:val="left" w:leader="none"/>
        </w:tabs>
        <w:spacing w:line="280" w:lineRule="auto" w:before="44"/>
        <w:ind w:left="239" w:right="3823"/>
      </w:pPr>
      <w:r>
        <w:rPr/>
        <w:t>100 - 399</w:t>
        <w:tab/>
        <w:t>Budgetary</w:t>
      </w:r>
      <w:r>
        <w:rPr>
          <w:spacing w:val="-12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Other</w:t>
      </w:r>
      <w:r>
        <w:rPr>
          <w:spacing w:val="-12"/>
        </w:rPr>
        <w:t> </w:t>
      </w:r>
      <w:r>
        <w:rPr/>
        <w:t>Than</w:t>
      </w:r>
      <w:r>
        <w:rPr>
          <w:spacing w:val="-7"/>
        </w:rPr>
        <w:t> </w:t>
      </w:r>
      <w:r>
        <w:rPr/>
        <w:t>Collections 400 - 699</w:t>
        <w:tab/>
        <w:t>Authority Transfers</w:t>
      </w:r>
    </w:p>
    <w:p>
      <w:pPr>
        <w:pStyle w:val="BodyText"/>
        <w:tabs>
          <w:tab w:pos="1401" w:val="left" w:leader="none"/>
        </w:tabs>
        <w:spacing w:line="229" w:lineRule="exact"/>
        <w:ind w:left="239"/>
      </w:pPr>
      <w:r>
        <w:rPr/>
        <w:t>700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799</w:t>
      </w:r>
      <w:r>
        <w:rPr/>
        <w:tab/>
        <w:t>Reimbursables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>
          <w:spacing w:val="-2"/>
        </w:rPr>
        <w:t>Income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47"/>
        <w:ind w:left="479" w:right="0" w:hanging="241"/>
        <w:jc w:val="left"/>
        <w:rPr>
          <w:b/>
          <w:sz w:val="20"/>
        </w:rPr>
      </w:pPr>
      <w:r>
        <w:rPr>
          <w:b/>
          <w:sz w:val="20"/>
        </w:rPr>
        <w:t>Disbursements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Payables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5464"/>
      </w:tblGrid>
      <w:tr>
        <w:trPr>
          <w:trHeight w:val="246" w:hRule="atLeast"/>
        </w:trPr>
        <w:tc>
          <w:tcPr>
            <w:tcW w:w="1018" w:type="dxa"/>
          </w:tcPr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5464" w:type="dxa"/>
          </w:tcPr>
          <w:p>
            <w:pPr>
              <w:pStyle w:val="TableParagraph"/>
              <w:spacing w:line="223" w:lineRule="exact" w:before="0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Payments/Purchases</w:t>
            </w:r>
          </w:p>
        </w:tc>
      </w:tr>
      <w:tr>
        <w:trPr>
          <w:trHeight w:val="271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546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Commitments/Undelivered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Orders/Expended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Unpaid</w:t>
            </w:r>
          </w:p>
        </w:tc>
      </w:tr>
      <w:tr>
        <w:trPr>
          <w:trHeight w:val="271" w:hRule="atLeast"/>
        </w:trPr>
        <w:tc>
          <w:tcPr>
            <w:tcW w:w="1018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18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Payables/Accrued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Liabilities</w:t>
            </w:r>
          </w:p>
        </w:tc>
      </w:tr>
      <w:tr>
        <w:trPr>
          <w:trHeight w:val="246" w:hRule="atLeast"/>
        </w:trPr>
        <w:tc>
          <w:tcPr>
            <w:tcW w:w="101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5464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Advances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Prepayments</w:t>
            </w:r>
          </w:p>
        </w:tc>
      </w:tr>
      <w:tr>
        <w:trPr>
          <w:trHeight w:val="471" w:hRule="atLeast"/>
        </w:trPr>
        <w:tc>
          <w:tcPr>
            <w:tcW w:w="6482" w:type="dxa"/>
            <w:gridSpan w:val="2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Receivables</w:t>
            </w:r>
          </w:p>
        </w:tc>
      </w:tr>
      <w:tr>
        <w:trPr>
          <w:trHeight w:val="291" w:hRule="atLeast"/>
        </w:trPr>
        <w:tc>
          <w:tcPr>
            <w:tcW w:w="1018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38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Receipts</w:t>
            </w:r>
          </w:p>
        </w:tc>
      </w:tr>
      <w:tr>
        <w:trPr>
          <w:trHeight w:val="271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546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Receivables/Accrued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Revenue</w:t>
            </w:r>
          </w:p>
        </w:tc>
      </w:tr>
      <w:tr>
        <w:trPr>
          <w:trHeight w:val="248" w:hRule="atLeast"/>
        </w:trPr>
        <w:tc>
          <w:tcPr>
            <w:tcW w:w="1018" w:type="dxa"/>
          </w:tcPr>
          <w:p>
            <w:pPr>
              <w:pStyle w:val="TableParagraph"/>
              <w:spacing w:line="210" w:lineRule="exact" w:before="18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5464" w:type="dxa"/>
          </w:tcPr>
          <w:p>
            <w:pPr>
              <w:pStyle w:val="TableParagraph"/>
              <w:spacing w:line="210" w:lineRule="exact" w:before="18"/>
              <w:ind w:left="194"/>
              <w:rPr>
                <w:sz w:val="20"/>
              </w:rPr>
            </w:pPr>
            <w:r>
              <w:rPr>
                <w:sz w:val="20"/>
              </w:rPr>
              <w:t>Asset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Disposition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(Gains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Losses)</w:t>
            </w:r>
          </w:p>
        </w:tc>
      </w:tr>
      <w:tr>
        <w:trPr>
          <w:trHeight w:val="470" w:hRule="atLeast"/>
        </w:trPr>
        <w:tc>
          <w:tcPr>
            <w:tcW w:w="6482" w:type="dxa"/>
            <w:gridSpan w:val="2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Adjustments/Write-offs/Reclassification</w:t>
            </w:r>
          </w:p>
        </w:tc>
      </w:tr>
      <w:tr>
        <w:trPr>
          <w:trHeight w:val="291" w:hRule="atLeast"/>
        </w:trPr>
        <w:tc>
          <w:tcPr>
            <w:tcW w:w="1018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38"/>
              <w:ind w:left="194"/>
              <w:rPr>
                <w:sz w:val="20"/>
              </w:rPr>
            </w:pPr>
            <w:r>
              <w:rPr>
                <w:sz w:val="20"/>
              </w:rPr>
              <w:t>Upward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Downward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Adjustments</w:t>
            </w:r>
          </w:p>
        </w:tc>
      </w:tr>
      <w:tr>
        <w:trPr>
          <w:trHeight w:val="269" w:hRule="atLeast"/>
        </w:trPr>
        <w:tc>
          <w:tcPr>
            <w:tcW w:w="1018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5464" w:type="dxa"/>
          </w:tcPr>
          <w:p>
            <w:pPr>
              <w:pStyle w:val="TableParagraph"/>
              <w:spacing w:before="16"/>
              <w:ind w:left="194"/>
              <w:rPr>
                <w:sz w:val="20"/>
              </w:rPr>
            </w:pPr>
            <w:r>
              <w:rPr>
                <w:sz w:val="20"/>
              </w:rPr>
              <w:t>Prior-Period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Adjustments</w:t>
            </w:r>
          </w:p>
        </w:tc>
      </w:tr>
      <w:tr>
        <w:trPr>
          <w:trHeight w:val="268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546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Write-</w:t>
            </w:r>
            <w:r>
              <w:rPr>
                <w:spacing w:val="-4"/>
                <w:sz w:val="20"/>
              </w:rPr>
              <w:t>offs</w:t>
            </w:r>
          </w:p>
        </w:tc>
      </w:tr>
      <w:tr>
        <w:trPr>
          <w:trHeight w:val="246" w:hRule="atLeast"/>
        </w:trPr>
        <w:tc>
          <w:tcPr>
            <w:tcW w:w="101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5464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Reclassification/Revaluation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0" w:hanging="241"/>
        <w:jc w:val="left"/>
        <w:rPr>
          <w:b/>
          <w:sz w:val="20"/>
        </w:rPr>
      </w:pPr>
      <w:r>
        <w:rPr>
          <w:b/>
          <w:sz w:val="20"/>
        </w:rPr>
        <w:t>Accruals/Nonbudgetary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Transfers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Disbursements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Collections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399</w:t>
      </w:r>
      <w:r>
        <w:rPr/>
        <w:tab/>
        <w:t>Accrual,</w:t>
      </w:r>
      <w:r>
        <w:rPr>
          <w:spacing w:val="-10"/>
        </w:rPr>
        <w:t> </w:t>
      </w:r>
      <w:r>
        <w:rPr/>
        <w:t>Depreciation,</w:t>
      </w:r>
      <w:r>
        <w:rPr>
          <w:spacing w:val="-9"/>
        </w:rPr>
        <w:t> </w:t>
      </w:r>
      <w:r>
        <w:rPr/>
        <w:t>Amortization,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Depletion</w:t>
      </w:r>
    </w:p>
    <w:p>
      <w:pPr>
        <w:pStyle w:val="BodyText"/>
        <w:tabs>
          <w:tab w:pos="1401" w:val="left" w:leader="none"/>
        </w:tabs>
        <w:spacing w:line="280" w:lineRule="auto" w:before="39"/>
        <w:ind w:left="239" w:right="2686"/>
      </w:pPr>
      <w:r>
        <w:rPr/>
        <w:t>400 - 499</w:t>
        <w:tab/>
        <w:t>Accumulated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Allocated</w:t>
      </w:r>
      <w:r>
        <w:rPr>
          <w:spacing w:val="-7"/>
        </w:rPr>
        <w:t> </w:t>
      </w:r>
      <w:r>
        <w:rPr/>
        <w:t>Costs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Above 500 - 799</w:t>
        <w:tab/>
        <w:t>Transfers Without Budgetary Impact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0" w:hanging="226"/>
        <w:jc w:val="left"/>
        <w:rPr>
          <w:b/>
          <w:sz w:val="20"/>
        </w:rPr>
      </w:pPr>
      <w:r>
        <w:rPr>
          <w:b/>
          <w:spacing w:val="-2"/>
          <w:sz w:val="20"/>
        </w:rPr>
        <w:t>Yearend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299</w:t>
      </w:r>
      <w:r>
        <w:rPr/>
        <w:tab/>
        <w:t>Preclosing</w:t>
      </w:r>
      <w:r>
        <w:rPr>
          <w:spacing w:val="-8"/>
        </w:rPr>
        <w:t> </w:t>
      </w:r>
      <w:r>
        <w:rPr>
          <w:spacing w:val="-2"/>
        </w:rPr>
        <w:t>Entries</w:t>
      </w:r>
    </w:p>
    <w:p>
      <w:pPr>
        <w:pStyle w:val="BodyText"/>
        <w:tabs>
          <w:tab w:pos="1401" w:val="left" w:leader="none"/>
        </w:tabs>
        <w:spacing w:before="44"/>
        <w:ind w:left="239"/>
      </w:pPr>
      <w:r>
        <w:rPr/>
        <w:t>300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499</w:t>
      </w:r>
      <w:r>
        <w:rPr/>
        <w:tab/>
        <w:t>Closing</w:t>
      </w:r>
      <w:r>
        <w:rPr>
          <w:spacing w:val="-3"/>
        </w:rPr>
        <w:t> </w:t>
      </w:r>
      <w:r>
        <w:rPr>
          <w:spacing w:val="-2"/>
        </w:rPr>
        <w:t>Entries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8" w:right="0" w:hanging="260"/>
        <w:jc w:val="left"/>
        <w:rPr>
          <w:b/>
          <w:sz w:val="20"/>
        </w:rPr>
      </w:pPr>
      <w:r>
        <w:rPr>
          <w:b/>
          <w:spacing w:val="-2"/>
          <w:sz w:val="20"/>
        </w:rPr>
        <w:t>Memorandum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Entries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299</w:t>
      </w:r>
      <w:r>
        <w:rPr/>
        <w:tab/>
        <w:t>All</w:t>
      </w:r>
      <w:r>
        <w:rPr>
          <w:spacing w:val="-7"/>
        </w:rPr>
        <w:t> </w:t>
      </w:r>
      <w:r>
        <w:rPr/>
        <w:t>Memorandum</w:t>
      </w:r>
      <w:r>
        <w:rPr>
          <w:spacing w:val="-8"/>
        </w:rPr>
        <w:t> </w:t>
      </w:r>
      <w:r>
        <w:rPr/>
        <w:t>Entries</w:t>
      </w:r>
      <w:r>
        <w:rPr>
          <w:spacing w:val="-11"/>
        </w:rPr>
        <w:t> </w:t>
      </w:r>
      <w:r>
        <w:rPr/>
        <w:t>(Excluding</w:t>
      </w:r>
      <w:r>
        <w:rPr>
          <w:spacing w:val="-11"/>
        </w:rPr>
        <w:t> </w:t>
      </w:r>
      <w:r>
        <w:rPr/>
        <w:t>Closing</w:t>
      </w:r>
      <w:r>
        <w:rPr>
          <w:spacing w:val="-10"/>
        </w:rPr>
        <w:t> </w:t>
      </w:r>
      <w:r>
        <w:rPr/>
        <w:t>Memorandum</w:t>
      </w:r>
      <w:r>
        <w:rPr>
          <w:spacing w:val="-8"/>
        </w:rPr>
        <w:t> </w:t>
      </w:r>
      <w:r>
        <w:rPr>
          <w:spacing w:val="-2"/>
        </w:rPr>
        <w:t>Entries)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8" w:right="0" w:hanging="260"/>
        <w:jc w:val="left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Specialized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Transaction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Entries</w:t>
      </w:r>
    </w:p>
    <w:p>
      <w:pPr>
        <w:pStyle w:val="BodyText"/>
        <w:tabs>
          <w:tab w:pos="1401" w:val="left" w:leader="none"/>
        </w:tabs>
        <w:spacing w:before="39"/>
        <w:ind w:left="239"/>
      </w:pPr>
      <w:r>
        <w:rPr/>
        <w:t>100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799</w:t>
      </w:r>
      <w:r>
        <w:rPr/>
        <w:tab/>
      </w:r>
      <w:r>
        <w:rPr>
          <w:spacing w:val="-4"/>
        </w:rPr>
        <w:t>Other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tabs>
          <w:tab w:pos="4100" w:val="left" w:leader="none"/>
          <w:tab w:pos="7778" w:val="left" w:leader="none"/>
        </w:tabs>
        <w:spacing w:before="95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Bulletin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No.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2021-</w:t>
      </w:r>
      <w:r>
        <w:rPr>
          <w:rFonts w:ascii="Arial"/>
          <w:b/>
          <w:spacing w:val="-5"/>
          <w:sz w:val="20"/>
        </w:rPr>
        <w:t>17</w:t>
      </w:r>
      <w:r>
        <w:rPr>
          <w:rFonts w:ascii="Arial"/>
          <w:b/>
          <w:sz w:val="20"/>
        </w:rPr>
        <w:tab/>
        <w:t>III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AC 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0"/>
          <w:sz w:val="20"/>
        </w:rPr>
        <w:t>1</w:t>
      </w:r>
      <w:r>
        <w:rPr>
          <w:rFonts w:ascii="Arial"/>
          <w:b/>
          <w:sz w:val="20"/>
        </w:rPr>
        <w:tab/>
        <w:t>June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4"/>
          <w:sz w:val="20"/>
        </w:rPr>
        <w:t>2021</w:t>
      </w:r>
    </w:p>
    <w:sectPr>
      <w:type w:val="continuous"/>
      <w:pgSz w:w="12240" w:h="15840"/>
      <w:pgMar w:top="68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."/>
      <w:lvlJc w:val="left"/>
      <w:pPr>
        <w:ind w:left="479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4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4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4" w:hanging="24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2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terms:created xsi:type="dcterms:W3CDTF">2022-04-14T14:15:56Z</dcterms:created>
  <dcterms:modified xsi:type="dcterms:W3CDTF">2022-04-14T14:15:56Z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2022-04-14T00:00:00Z</vt:filetime>
  </property>
</Properties>
</file>