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9" w:type="dxa"/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80" w:firstRow="0" w:lastRow="0" w:firstColumn="1" w:lastColumn="0" w:noHBand="0" w:noVBand="1"/>
      </w:tblPr>
      <w:tblGrid>
        <w:gridCol w:w="2160"/>
        <w:gridCol w:w="1441"/>
        <w:gridCol w:w="5040"/>
        <w:gridCol w:w="2879"/>
        <w:gridCol w:w="719"/>
        <w:gridCol w:w="1300"/>
        <w:gridCol w:w="860"/>
      </w:tblGrid>
      <w:tr w:rsidR="00A91D85" w:rsidRPr="00A91D85" w14:paraId="263E0663" w14:textId="77777777" w:rsidTr="00A91D85">
        <w:trPr>
          <w:cantSplit/>
        </w:trPr>
        <w:tc>
          <w:tcPr>
            <w:tcW w:w="2160" w:type="dxa"/>
          </w:tcPr>
          <w:p w14:paraId="72BEBA85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Credit Cohort Year</w:t>
            </w:r>
          </w:p>
        </w:tc>
        <w:tc>
          <w:tcPr>
            <w:tcW w:w="1441" w:type="dxa"/>
          </w:tcPr>
          <w:p w14:paraId="1A066EEA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 xml:space="preserve">Cohort </w:t>
            </w:r>
            <w:proofErr w:type="spellStart"/>
            <w:r w:rsidRPr="00A91D85">
              <w:rPr>
                <w:rFonts w:ascii="TimesNewRoman" w:hAnsi="TimesNewRoman" w:cs="Courier New"/>
                <w:sz w:val="20"/>
              </w:rPr>
              <w:t>Yr</w:t>
            </w:r>
            <w:proofErr w:type="spellEnd"/>
          </w:p>
        </w:tc>
        <w:tc>
          <w:tcPr>
            <w:tcW w:w="5040" w:type="dxa"/>
          </w:tcPr>
          <w:p w14:paraId="03D9BE62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Fiscal year when direct loans are obligated or guarantees committed by a program, even if disbursements occur in subsequent fiscal years.</w:t>
            </w:r>
          </w:p>
        </w:tc>
        <w:tc>
          <w:tcPr>
            <w:tcW w:w="2879" w:type="dxa"/>
          </w:tcPr>
          <w:p w14:paraId="536971FE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1001 - </w:t>
            </w:r>
            <w:proofErr w:type="spellStart"/>
            <w:r>
              <w:rPr>
                <w:rFonts w:ascii="TimesNewRoman" w:hAnsi="TimesNewRoman" w:cs="Courier New"/>
                <w:sz w:val="20"/>
              </w:rPr>
              <w:t>OPIC</w:t>
            </w:r>
            <w:proofErr w:type="spellEnd"/>
            <w:r>
              <w:rPr>
                <w:rFonts w:ascii="TimesNewRoman" w:hAnsi="TimesNewRoman" w:cs="Courier New"/>
                <w:sz w:val="20"/>
              </w:rPr>
              <w:t xml:space="preserve"> Working Capital,</w:t>
            </w:r>
          </w:p>
          <w:p w14:paraId="0F47068D" w14:textId="418BD8F1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1992-</w:t>
            </w:r>
            <w:r w:rsidRPr="0059645C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202</w:t>
            </w:r>
            <w:r w:rsidR="0059645C" w:rsidRPr="0059645C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1</w:t>
            </w:r>
            <w:r w:rsidR="0059645C" w:rsidRPr="0059645C">
              <w:rPr>
                <w:rFonts w:ascii="TimesNewRoman" w:hAnsi="TimesNewRoman" w:cs="Courier New"/>
                <w:color w:val="17365D" w:themeColor="text2" w:themeShade="BF"/>
                <w:sz w:val="20"/>
              </w:rPr>
              <w:t xml:space="preserve"> 2022</w:t>
            </w:r>
          </w:p>
        </w:tc>
        <w:tc>
          <w:tcPr>
            <w:tcW w:w="719" w:type="dxa"/>
          </w:tcPr>
          <w:p w14:paraId="32D30A91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4/N</w:t>
            </w:r>
          </w:p>
        </w:tc>
        <w:tc>
          <w:tcPr>
            <w:tcW w:w="1300" w:type="dxa"/>
          </w:tcPr>
          <w:p w14:paraId="6549311E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OMB Circ. No. A-11</w:t>
            </w:r>
          </w:p>
        </w:tc>
        <w:tc>
          <w:tcPr>
            <w:tcW w:w="860" w:type="dxa"/>
          </w:tcPr>
          <w:p w14:paraId="43EE40F0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  <w:tr w:rsidR="00A91D85" w:rsidRPr="00A91D85" w14:paraId="121A6492" w14:textId="77777777" w:rsidTr="00A91D85">
        <w:trPr>
          <w:cantSplit/>
        </w:trPr>
        <w:tc>
          <w:tcPr>
            <w:tcW w:w="2160" w:type="dxa"/>
          </w:tcPr>
          <w:p w14:paraId="61F15678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Disaster Emergency Fund Code</w:t>
            </w:r>
          </w:p>
        </w:tc>
        <w:tc>
          <w:tcPr>
            <w:tcW w:w="1441" w:type="dxa"/>
          </w:tcPr>
          <w:p w14:paraId="028F2E56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proofErr w:type="spellStart"/>
            <w:r w:rsidRPr="00A91D85">
              <w:rPr>
                <w:rFonts w:ascii="TimesNewRoman" w:hAnsi="TimesNewRoman" w:cs="Courier New"/>
                <w:sz w:val="20"/>
              </w:rPr>
              <w:t>DEFC</w:t>
            </w:r>
            <w:proofErr w:type="spellEnd"/>
          </w:p>
        </w:tc>
        <w:tc>
          <w:tcPr>
            <w:tcW w:w="5040" w:type="dxa"/>
          </w:tcPr>
          <w:p w14:paraId="49F14C91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Distinguishes whether the budgetary resources, obligations incurred, unobligated and obligated balances, and outlays are classified as disaster, emergency, wildfire suppression or none of the three. Note - Once one of the three has been identified, the title "Disaster/Emergency/Wildfire Suppression", for example, will be replaced with the actual title identified by OMB such as "Emergency PL 115-56."</w:t>
            </w:r>
          </w:p>
        </w:tc>
        <w:tc>
          <w:tcPr>
            <w:tcW w:w="2879" w:type="dxa"/>
          </w:tcPr>
          <w:p w14:paraId="491340C7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A - Emergency PL 115-56,</w:t>
            </w:r>
          </w:p>
          <w:p w14:paraId="02A8E491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B - Emergency PL 115-72,</w:t>
            </w:r>
          </w:p>
          <w:p w14:paraId="24555316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C - Emergency PL 115-123,</w:t>
            </w:r>
          </w:p>
          <w:p w14:paraId="7861469D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D - Emergency PL 115-254,</w:t>
            </w:r>
          </w:p>
          <w:p w14:paraId="46DEDACA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E - Emergency PL 116-20,</w:t>
            </w:r>
          </w:p>
          <w:p w14:paraId="6E7C44A2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F - Emergency PL 116-26,</w:t>
            </w:r>
          </w:p>
          <w:p w14:paraId="3061DF1B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G - Emergency PL 116-93,</w:t>
            </w:r>
          </w:p>
          <w:p w14:paraId="35B8EA26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H - Disaster PL 116-93,</w:t>
            </w:r>
          </w:p>
          <w:p w14:paraId="11FB7765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I - Emergency PL 116-94,</w:t>
            </w:r>
          </w:p>
          <w:p w14:paraId="77200B05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J - Wildfire Suppression PL 116-94,</w:t>
            </w:r>
          </w:p>
          <w:p w14:paraId="2353BAE6" w14:textId="77777777" w:rsid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>K - Emergency PL 116-113,</w:t>
            </w:r>
          </w:p>
          <w:p w14:paraId="5E38B314" w14:textId="77777777" w:rsidR="0059645C" w:rsidRDefault="0059645C" w:rsidP="0059645C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L – </w:t>
            </w:r>
            <w:r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Disaster/Emergency/Wildfire Suppression</w:t>
            </w:r>
            <w:r w:rsidRPr="0012339E">
              <w:rPr>
                <w:rFonts w:ascii="TimesNewRoman" w:hAnsi="TimesNewRoman" w:cs="Courier New"/>
                <w:color w:val="943634" w:themeColor="accent2" w:themeShade="BF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Emergency PL 116-123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14:paraId="403ADBFC" w14:textId="77777777" w:rsidR="0059645C" w:rsidRDefault="0059645C" w:rsidP="0059645C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M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 xml:space="preserve">- </w:t>
            </w:r>
            <w:r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Disaster/Emergency/Wildfire Suppression</w:t>
            </w:r>
            <w:r>
              <w:rPr>
                <w:rFonts w:ascii="TimesNewRoman" w:hAnsi="TimesNewRoman" w:cs="Courier New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Emergency PL 116-127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14:paraId="2D162498" w14:textId="77777777" w:rsidR="0059645C" w:rsidRDefault="0059645C" w:rsidP="0059645C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N - </w:t>
            </w:r>
            <w:r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Disaster/Emergency/Wildfire Suppression</w:t>
            </w:r>
            <w:r w:rsidRPr="0012339E">
              <w:rPr>
                <w:rFonts w:ascii="TimesNewRoman" w:hAnsi="TimesNewRoman" w:cs="Courier New"/>
                <w:color w:val="943634" w:themeColor="accent2" w:themeShade="BF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Emergency PL 116-136</w:t>
            </w:r>
            <w:r>
              <w:rPr>
                <w:rFonts w:ascii="TimesNewRoman" w:hAnsi="TimesNewRoman" w:cs="Courier New"/>
                <w:sz w:val="20"/>
              </w:rPr>
              <w:t>,</w:t>
            </w:r>
          </w:p>
          <w:p w14:paraId="4586B116" w14:textId="77777777" w:rsidR="0059645C" w:rsidRDefault="0059645C" w:rsidP="0059645C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O - </w:t>
            </w:r>
            <w:r w:rsidRPr="0012339E">
              <w:rPr>
                <w:rFonts w:ascii="TimesNewRoman" w:hAnsi="TimesNewRoman" w:cs="Courier New"/>
                <w:strike/>
                <w:color w:val="943634" w:themeColor="accent2" w:themeShade="BF"/>
                <w:sz w:val="20"/>
              </w:rPr>
              <w:t>Disaster/Emergency/Wildfire Suppression</w:t>
            </w:r>
            <w:r>
              <w:rPr>
                <w:rFonts w:ascii="TimesNewRoman" w:hAnsi="TimesNewRoman" w:cs="Courier New"/>
                <w:sz w:val="20"/>
              </w:rPr>
              <w:t xml:space="preserve"> </w:t>
            </w: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Nonemergency PL 116-136,</w:t>
            </w:r>
          </w:p>
          <w:p w14:paraId="5B4478F9" w14:textId="77777777" w:rsidR="0059645C" w:rsidRPr="0012339E" w:rsidRDefault="0059645C" w:rsidP="0059645C">
            <w:pPr>
              <w:pStyle w:val="PlainText"/>
              <w:rPr>
                <w:rFonts w:ascii="TimesNewRoman" w:hAnsi="TimesNewRoman" w:cs="Courier New"/>
                <w:color w:val="17365D" w:themeColor="text2" w:themeShade="BF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P - Disaster/Emergency/Wildfire Suppression,</w:t>
            </w:r>
          </w:p>
          <w:p w14:paraId="6CE1DC72" w14:textId="77777777" w:rsidR="0059645C" w:rsidRDefault="0059645C" w:rsidP="0059645C">
            <w:pPr>
              <w:pStyle w:val="PlainText"/>
              <w:rPr>
                <w:rFonts w:ascii="TimesNewRoman" w:hAnsi="TimesNewRoman" w:cs="Courier New"/>
                <w:sz w:val="20"/>
              </w:rPr>
            </w:pPr>
            <w:r>
              <w:rPr>
                <w:rFonts w:ascii="TimesNewRoman" w:hAnsi="TimesNewRoman" w:cs="Courier New"/>
                <w:sz w:val="20"/>
              </w:rPr>
              <w:t xml:space="preserve">Q - </w:t>
            </w:r>
            <w:proofErr w:type="gramStart"/>
            <w:r>
              <w:rPr>
                <w:rFonts w:ascii="TimesNewRoman" w:hAnsi="TimesNewRoman" w:cs="Courier New"/>
                <w:sz w:val="20"/>
              </w:rPr>
              <w:t>Non Disaster</w:t>
            </w:r>
            <w:proofErr w:type="gramEnd"/>
            <w:r>
              <w:rPr>
                <w:rFonts w:ascii="TimesNewRoman" w:hAnsi="TimesNewRoman" w:cs="Courier New"/>
                <w:sz w:val="20"/>
              </w:rPr>
              <w:t xml:space="preserve"> or Emergency,</w:t>
            </w:r>
          </w:p>
          <w:p w14:paraId="2FD2E226" w14:textId="77777777" w:rsidR="0059645C" w:rsidRPr="0012339E" w:rsidRDefault="0059645C" w:rsidP="0059645C">
            <w:pPr>
              <w:pStyle w:val="PlainText"/>
              <w:rPr>
                <w:rFonts w:ascii="TimesNewRoman" w:hAnsi="TimesNewRoman" w:cs="Courier New"/>
                <w:color w:val="17365D" w:themeColor="text2" w:themeShade="BF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R - Disaster/Emergency/Wildfire Suppression,</w:t>
            </w:r>
          </w:p>
          <w:p w14:paraId="483A9276" w14:textId="77777777" w:rsidR="0059645C" w:rsidRPr="0012339E" w:rsidRDefault="0059645C" w:rsidP="0059645C">
            <w:pPr>
              <w:pStyle w:val="PlainText"/>
              <w:rPr>
                <w:rFonts w:ascii="TimesNewRoman" w:hAnsi="TimesNewRoman" w:cs="Courier New"/>
                <w:color w:val="17365D" w:themeColor="text2" w:themeShade="BF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S - Disaster/Emergency/Wildfire Suppression,</w:t>
            </w:r>
          </w:p>
          <w:p w14:paraId="092E83D8" w14:textId="0A119DB9" w:rsidR="00A91D85" w:rsidRPr="00A91D85" w:rsidRDefault="0059645C" w:rsidP="0059645C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12339E">
              <w:rPr>
                <w:rFonts w:ascii="TimesNewRoman" w:hAnsi="TimesNewRoman" w:cs="Courier New"/>
                <w:color w:val="17365D" w:themeColor="text2" w:themeShade="BF"/>
                <w:sz w:val="20"/>
              </w:rPr>
              <w:t>T - Disaster/Emergency/Wildfire Suppression</w:t>
            </w:r>
          </w:p>
        </w:tc>
        <w:tc>
          <w:tcPr>
            <w:tcW w:w="719" w:type="dxa"/>
          </w:tcPr>
          <w:p w14:paraId="5884AD70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1/A</w:t>
            </w:r>
          </w:p>
        </w:tc>
        <w:tc>
          <w:tcPr>
            <w:tcW w:w="1300" w:type="dxa"/>
          </w:tcPr>
          <w:p w14:paraId="74FE95D3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OMB Guidance/</w:t>
            </w:r>
            <w:proofErr w:type="spellStart"/>
            <w:r w:rsidRPr="00A91D85">
              <w:rPr>
                <w:rFonts w:ascii="TimesNewRoman" w:hAnsi="TimesNewRoman" w:cs="Courier New"/>
                <w:sz w:val="20"/>
              </w:rPr>
              <w:t>TFM</w:t>
            </w:r>
            <w:proofErr w:type="spellEnd"/>
          </w:p>
        </w:tc>
        <w:tc>
          <w:tcPr>
            <w:tcW w:w="860" w:type="dxa"/>
          </w:tcPr>
          <w:p w14:paraId="65C6AE52" w14:textId="77777777" w:rsidR="00A91D85" w:rsidRPr="00A91D85" w:rsidRDefault="00A91D85" w:rsidP="002D5417">
            <w:pPr>
              <w:pStyle w:val="PlainText"/>
              <w:rPr>
                <w:rFonts w:ascii="TimesNewRoman" w:hAnsi="TimesNewRoman" w:cs="Courier New"/>
                <w:sz w:val="20"/>
              </w:rPr>
            </w:pPr>
            <w:r w:rsidRPr="00A91D85">
              <w:rPr>
                <w:rFonts w:ascii="TimesNewRoman" w:hAnsi="TimesNewRoman" w:cs="Courier New"/>
                <w:sz w:val="20"/>
              </w:rPr>
              <w:t>Bulk File</w:t>
            </w:r>
          </w:p>
        </w:tc>
      </w:tr>
    </w:tbl>
    <w:p w14:paraId="09726341" w14:textId="77777777" w:rsidR="00DA4E84" w:rsidRPr="00A91D85" w:rsidRDefault="00DA4E84" w:rsidP="00A91D85">
      <w:pPr>
        <w:pStyle w:val="PlainText"/>
        <w:tabs>
          <w:tab w:val="left" w:pos="2160"/>
          <w:tab w:val="left" w:pos="3600"/>
          <w:tab w:val="left" w:pos="8640"/>
          <w:tab w:val="left" w:pos="11520"/>
          <w:tab w:val="left" w:pos="12240"/>
          <w:tab w:val="left" w:pos="13540"/>
        </w:tabs>
        <w:rPr>
          <w:rFonts w:ascii="TimesNewRoman" w:hAnsi="TimesNewRoman" w:cs="Courier New"/>
          <w:sz w:val="20"/>
        </w:rPr>
      </w:pPr>
    </w:p>
    <w:sectPr w:rsidR="00DA4E84" w:rsidRPr="00A91D85" w:rsidSect="00B56E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00F5" w14:textId="77777777" w:rsidR="002532FA" w:rsidRDefault="002532FA" w:rsidP="00403DC6">
      <w:r>
        <w:separator/>
      </w:r>
    </w:p>
  </w:endnote>
  <w:endnote w:type="continuationSeparator" w:id="0">
    <w:p w14:paraId="0A957D3F" w14:textId="77777777" w:rsidR="002532FA" w:rsidRDefault="002532FA" w:rsidP="0040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B52C3" w14:textId="77777777" w:rsidR="00A91D85" w:rsidRDefault="00A91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4305"/>
      <w:gridCol w:w="6051"/>
      <w:gridCol w:w="4044"/>
    </w:tblGrid>
    <w:tr w:rsidR="004F4A07" w:rsidRPr="00B922E1" w14:paraId="26F98EF2" w14:textId="77777777" w:rsidTr="00902FEE">
      <w:trPr>
        <w:trHeight w:val="252"/>
      </w:trPr>
      <w:tc>
        <w:tcPr>
          <w:tcW w:w="1495" w:type="pct"/>
          <w:shd w:val="clear" w:color="auto" w:fill="auto"/>
          <w:vAlign w:val="center"/>
        </w:tcPr>
        <w:p w14:paraId="1FDCD506" w14:textId="53961BE0" w:rsidR="004F4A07" w:rsidRPr="00B922E1" w:rsidRDefault="0059645C" w:rsidP="00902FEE">
          <w:pPr>
            <w:tabs>
              <w:tab w:val="center" w:pos="1152"/>
              <w:tab w:val="center" w:pos="7920"/>
            </w:tabs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IRC Handout</w:t>
          </w:r>
        </w:p>
      </w:tc>
      <w:tc>
        <w:tcPr>
          <w:tcW w:w="2101" w:type="pct"/>
          <w:shd w:val="clear" w:color="auto" w:fill="auto"/>
          <w:vAlign w:val="center"/>
        </w:tcPr>
        <w:p w14:paraId="75E50AFD" w14:textId="20CE5031" w:rsidR="004F4A07" w:rsidRPr="00B922E1" w:rsidRDefault="004F4A07" w:rsidP="00902FEE">
          <w:pPr>
            <w:tabs>
              <w:tab w:val="center" w:pos="1152"/>
              <w:tab w:val="center" w:pos="7920"/>
            </w:tabs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</w:p>
      </w:tc>
      <w:tc>
        <w:tcPr>
          <w:tcW w:w="1404" w:type="pct"/>
          <w:shd w:val="clear" w:color="auto" w:fill="auto"/>
          <w:vAlign w:val="center"/>
        </w:tcPr>
        <w:p w14:paraId="6EE37482" w14:textId="6351675C" w:rsidR="004F4A07" w:rsidRPr="00B922E1" w:rsidRDefault="0059645C" w:rsidP="00902FEE">
          <w:pPr>
            <w:tabs>
              <w:tab w:val="center" w:pos="1152"/>
              <w:tab w:val="center" w:pos="7920"/>
            </w:tabs>
            <w:jc w:val="right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>
            <w:rPr>
              <w:rFonts w:ascii="Arial" w:eastAsia="Calibri" w:hAnsi="Arial" w:cs="Times New Roman"/>
              <w:b/>
              <w:sz w:val="20"/>
            </w:rPr>
            <w:t>April</w:t>
          </w:r>
          <w:bookmarkStart w:id="0" w:name="_GoBack"/>
          <w:bookmarkEnd w:id="0"/>
          <w:r w:rsidR="00A91D85">
            <w:rPr>
              <w:rFonts w:ascii="Arial" w:eastAsia="Calibri" w:hAnsi="Arial" w:cs="Times New Roman"/>
              <w:b/>
              <w:sz w:val="20"/>
            </w:rPr>
            <w:t xml:space="preserve"> 2020</w:t>
          </w:r>
        </w:p>
      </w:tc>
    </w:tr>
  </w:tbl>
  <w:p w14:paraId="4EEDAD29" w14:textId="77777777" w:rsidR="004F4A07" w:rsidRPr="00B922E1" w:rsidRDefault="004F4A07" w:rsidP="004F4A07">
    <w:pPr>
      <w:pStyle w:val="Footer"/>
      <w:spacing w:line="80" w:lineRule="exact"/>
      <w:rPr>
        <w:rFonts w:ascii="Arial" w:hAnsi="Arial"/>
        <w:sz w:val="16"/>
      </w:rPr>
    </w:pPr>
  </w:p>
  <w:p w14:paraId="0F18D02B" w14:textId="77777777" w:rsidR="00CF70C5" w:rsidRPr="004F4A07" w:rsidRDefault="00CF70C5" w:rsidP="004F4A07">
    <w:pPr>
      <w:pStyle w:val="Footer"/>
      <w:spacing w:line="60" w:lineRule="exact"/>
      <w:rPr>
        <w:rFonts w:ascii="Arial" w:hAnsi="Arial" w:cs="Arial"/>
        <w:sz w:val="16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1AEA" w14:textId="77777777" w:rsidR="00A91D85" w:rsidRDefault="00A91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F4F2" w14:textId="77777777" w:rsidR="002532FA" w:rsidRDefault="002532FA" w:rsidP="00403DC6">
      <w:r>
        <w:separator/>
      </w:r>
    </w:p>
  </w:footnote>
  <w:footnote w:type="continuationSeparator" w:id="0">
    <w:p w14:paraId="1B94A0AE" w14:textId="77777777" w:rsidR="002532FA" w:rsidRDefault="002532FA" w:rsidP="0040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78A8D" w14:textId="77777777" w:rsidR="00A91D85" w:rsidRDefault="00A91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400" w:type="dxa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3801"/>
      <w:gridCol w:w="6823"/>
      <w:gridCol w:w="3776"/>
    </w:tblGrid>
    <w:tr w:rsidR="001C3A72" w:rsidRPr="00B922E1" w14:paraId="71AD7911" w14:textId="77777777" w:rsidTr="00B56E56">
      <w:trPr>
        <w:trHeight w:hRule="exact" w:val="288"/>
      </w:trPr>
      <w:tc>
        <w:tcPr>
          <w:tcW w:w="1320" w:type="pct"/>
          <w:shd w:val="clear" w:color="auto" w:fill="auto"/>
          <w:vAlign w:val="center"/>
        </w:tcPr>
        <w:p w14:paraId="7DAC2F5A" w14:textId="77777777" w:rsidR="001C3A72" w:rsidRPr="00B922E1" w:rsidRDefault="00A91D85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Part 2</w:t>
          </w:r>
        </w:p>
      </w:tc>
      <w:tc>
        <w:tcPr>
          <w:tcW w:w="2369" w:type="pct"/>
          <w:shd w:val="clear" w:color="auto" w:fill="auto"/>
          <w:vAlign w:val="center"/>
        </w:tcPr>
        <w:p w14:paraId="51A19D02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center"/>
        </w:tcPr>
        <w:p w14:paraId="401145BF" w14:textId="77777777" w:rsidR="001C3A72" w:rsidRPr="00B922E1" w:rsidRDefault="00A91D85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Fiscal Year 2021 Reporting</w:t>
          </w:r>
        </w:p>
      </w:tc>
    </w:tr>
    <w:tr w:rsidR="001C3A72" w:rsidRPr="00B922E1" w14:paraId="16454071" w14:textId="77777777" w:rsidTr="00B56E56">
      <w:trPr>
        <w:trHeight w:hRule="exact" w:val="331"/>
      </w:trPr>
      <w:tc>
        <w:tcPr>
          <w:tcW w:w="1320" w:type="pct"/>
          <w:shd w:val="clear" w:color="auto" w:fill="auto"/>
          <w:vAlign w:val="bottom"/>
        </w:tcPr>
        <w:p w14:paraId="270A625C" w14:textId="77777777" w:rsidR="001C3A72" w:rsidRPr="00B922E1" w:rsidRDefault="00A91D85" w:rsidP="00902FEE">
          <w:pPr>
            <w:tabs>
              <w:tab w:val="center" w:pos="1152"/>
              <w:tab w:val="center" w:pos="7920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SUPPLEMENT</w:t>
          </w:r>
        </w:p>
      </w:tc>
      <w:tc>
        <w:tcPr>
          <w:tcW w:w="2369" w:type="pct"/>
          <w:shd w:val="clear" w:color="auto" w:fill="auto"/>
          <w:vAlign w:val="bottom"/>
        </w:tcPr>
        <w:p w14:paraId="546C2D86" w14:textId="77777777" w:rsidR="001C3A72" w:rsidRPr="00B922E1" w:rsidRDefault="001C3A72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</w:p>
      </w:tc>
      <w:tc>
        <w:tcPr>
          <w:tcW w:w="1311" w:type="pct"/>
          <w:shd w:val="clear" w:color="auto" w:fill="auto"/>
          <w:vAlign w:val="bottom"/>
        </w:tcPr>
        <w:p w14:paraId="551B602B" w14:textId="77777777" w:rsidR="001C3A72" w:rsidRPr="00B922E1" w:rsidRDefault="00A91D85" w:rsidP="00902FEE">
          <w:pPr>
            <w:tabs>
              <w:tab w:val="center" w:pos="1152"/>
              <w:tab w:val="center" w:pos="7920"/>
            </w:tabs>
            <w:jc w:val="right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Section IV</w:t>
          </w:r>
        </w:p>
      </w:tc>
    </w:tr>
    <w:tr w:rsidR="001C3A72" w:rsidRPr="00B922E1" w14:paraId="3B479BE9" w14:textId="77777777" w:rsidTr="00B56E56">
      <w:trPr>
        <w:trHeight w:hRule="exact" w:val="288"/>
      </w:trPr>
      <w:tc>
        <w:tcPr>
          <w:tcW w:w="5000" w:type="pct"/>
          <w:gridSpan w:val="3"/>
          <w:shd w:val="clear" w:color="auto" w:fill="auto"/>
          <w:vAlign w:val="center"/>
        </w:tcPr>
        <w:p w14:paraId="79C5FB53" w14:textId="77777777" w:rsidR="001C3A72" w:rsidRPr="00B922E1" w:rsidRDefault="00A91D85" w:rsidP="00902FEE">
          <w:pPr>
            <w:tabs>
              <w:tab w:val="center" w:pos="1152"/>
              <w:tab w:val="center" w:pos="7920"/>
            </w:tabs>
            <w:jc w:val="center"/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U.S. Standard General Ledger - Account Attribute Definition Report</w:t>
          </w:r>
        </w:p>
      </w:tc>
    </w:tr>
  </w:tbl>
  <w:tbl>
    <w:tblPr>
      <w:tblStyle w:val="TableGrid"/>
      <w:tblW w:w="14400" w:type="dxa"/>
      <w:shd w:val="clear" w:color="auto" w:fill="EEECE1" w:themeFill="background2"/>
      <w:tblLayout w:type="fixed"/>
      <w:tblCellMar>
        <w:left w:w="29" w:type="dxa"/>
        <w:right w:w="29" w:type="dxa"/>
      </w:tblCellMar>
      <w:tblLook w:val="04A0" w:firstRow="1" w:lastRow="0" w:firstColumn="1" w:lastColumn="0" w:noHBand="0" w:noVBand="1"/>
    </w:tblPr>
    <w:tblGrid>
      <w:gridCol w:w="2161"/>
      <w:gridCol w:w="1440"/>
      <w:gridCol w:w="5042"/>
      <w:gridCol w:w="2881"/>
      <w:gridCol w:w="721"/>
      <w:gridCol w:w="1293"/>
      <w:gridCol w:w="862"/>
    </w:tblGrid>
    <w:tr w:rsidR="00CF70C5" w:rsidRPr="003C088B" w14:paraId="6E5F08DC" w14:textId="77777777" w:rsidTr="00733544">
      <w:trPr>
        <w:trHeight w:val="541"/>
      </w:trPr>
      <w:tc>
        <w:tcPr>
          <w:tcW w:w="2165" w:type="dxa"/>
          <w:shd w:val="clear" w:color="auto" w:fill="EEECE1" w:themeFill="background2"/>
          <w:vAlign w:val="center"/>
        </w:tcPr>
        <w:p w14:paraId="4534FDC1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Name</w:t>
          </w:r>
        </w:p>
      </w:tc>
      <w:tc>
        <w:tcPr>
          <w:tcW w:w="1443" w:type="dxa"/>
          <w:shd w:val="clear" w:color="auto" w:fill="EEECE1" w:themeFill="background2"/>
          <w:vAlign w:val="center"/>
        </w:tcPr>
        <w:p w14:paraId="1CF7B33A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Short</w:t>
          </w:r>
        </w:p>
        <w:p w14:paraId="65A370F0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Name</w:t>
          </w:r>
        </w:p>
      </w:tc>
      <w:tc>
        <w:tcPr>
          <w:tcW w:w="5052" w:type="dxa"/>
          <w:shd w:val="clear" w:color="auto" w:fill="EEECE1" w:themeFill="background2"/>
          <w:vAlign w:val="center"/>
        </w:tcPr>
        <w:p w14:paraId="4A30A238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Attribute Definition</w:t>
          </w:r>
        </w:p>
      </w:tc>
      <w:tc>
        <w:tcPr>
          <w:tcW w:w="2887" w:type="dxa"/>
          <w:shd w:val="clear" w:color="auto" w:fill="EEECE1" w:themeFill="background2"/>
          <w:vAlign w:val="center"/>
        </w:tcPr>
        <w:p w14:paraId="46CC21EC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Domain</w:t>
          </w:r>
        </w:p>
      </w:tc>
      <w:tc>
        <w:tcPr>
          <w:tcW w:w="722" w:type="dxa"/>
          <w:shd w:val="clear" w:color="auto" w:fill="EEECE1" w:themeFill="background2"/>
          <w:vAlign w:val="center"/>
        </w:tcPr>
        <w:p w14:paraId="203E43F0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Syst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em</w:t>
          </w:r>
        </w:p>
        <w:p w14:paraId="0FC10291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Chars</w:t>
          </w:r>
        </w:p>
      </w:tc>
      <w:tc>
        <w:tcPr>
          <w:tcW w:w="1296" w:type="dxa"/>
          <w:shd w:val="clear" w:color="auto" w:fill="EEECE1" w:themeFill="background2"/>
          <w:vAlign w:val="center"/>
        </w:tcPr>
        <w:p w14:paraId="7A8C26E0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Reference</w:t>
          </w:r>
        </w:p>
      </w:tc>
      <w:tc>
        <w:tcPr>
          <w:tcW w:w="864" w:type="dxa"/>
          <w:shd w:val="clear" w:color="auto" w:fill="EEECE1" w:themeFill="background2"/>
          <w:vAlign w:val="center"/>
        </w:tcPr>
        <w:p w14:paraId="6DBC5409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Supplied</w:t>
          </w:r>
        </w:p>
        <w:p w14:paraId="6CF0D66D" w14:textId="77777777" w:rsidR="00CF70C5" w:rsidRPr="003C088B" w:rsidRDefault="00CF70C5" w:rsidP="008425B9">
          <w:pPr>
            <w:pStyle w:val="Header"/>
            <w:tabs>
              <w:tab w:val="clear" w:pos="4680"/>
              <w:tab w:val="right" w:pos="2160"/>
              <w:tab w:val="right" w:pos="3456"/>
              <w:tab w:val="right" w:pos="11520"/>
              <w:tab w:val="right" w:pos="12672"/>
              <w:tab w:val="right" w:pos="13536"/>
            </w:tabs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C088B">
            <w:rPr>
              <w:rFonts w:ascii="Times New Roman" w:hAnsi="Times New Roman" w:cs="Times New Roman"/>
              <w:b/>
              <w:sz w:val="20"/>
              <w:szCs w:val="20"/>
            </w:rPr>
            <w:t>By</w:t>
          </w:r>
        </w:p>
      </w:tc>
    </w:tr>
  </w:tbl>
  <w:p w14:paraId="4EE3C41A" w14:textId="77777777" w:rsidR="00CF70C5" w:rsidRDefault="00CF70C5" w:rsidP="008425B9">
    <w:pPr>
      <w:pStyle w:val="Header"/>
      <w:tabs>
        <w:tab w:val="clear" w:pos="4680"/>
        <w:tab w:val="right" w:pos="2160"/>
        <w:tab w:val="right" w:pos="3456"/>
        <w:tab w:val="right" w:pos="11520"/>
        <w:tab w:val="right" w:pos="12672"/>
        <w:tab w:val="right" w:pos="13536"/>
      </w:tabs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F487" w14:textId="77777777" w:rsidR="00A91D85" w:rsidRDefault="00A91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64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1"/>
    <w:rsid w:val="00041CA6"/>
    <w:rsid w:val="00042790"/>
    <w:rsid w:val="0008795A"/>
    <w:rsid w:val="00142BF7"/>
    <w:rsid w:val="00185D90"/>
    <w:rsid w:val="00187FFA"/>
    <w:rsid w:val="001B1379"/>
    <w:rsid w:val="001C3A72"/>
    <w:rsid w:val="00205BBC"/>
    <w:rsid w:val="002532FA"/>
    <w:rsid w:val="00393D1A"/>
    <w:rsid w:val="003C088B"/>
    <w:rsid w:val="003E58BF"/>
    <w:rsid w:val="003F084C"/>
    <w:rsid w:val="00403DC6"/>
    <w:rsid w:val="0044768A"/>
    <w:rsid w:val="00452820"/>
    <w:rsid w:val="0046428D"/>
    <w:rsid w:val="004872A9"/>
    <w:rsid w:val="004F4A07"/>
    <w:rsid w:val="0052482A"/>
    <w:rsid w:val="00534202"/>
    <w:rsid w:val="00537B55"/>
    <w:rsid w:val="0055598D"/>
    <w:rsid w:val="0059645C"/>
    <w:rsid w:val="005F6FB3"/>
    <w:rsid w:val="00615872"/>
    <w:rsid w:val="00621847"/>
    <w:rsid w:val="00697CFD"/>
    <w:rsid w:val="006B5C9D"/>
    <w:rsid w:val="006D4F9F"/>
    <w:rsid w:val="00733544"/>
    <w:rsid w:val="007446E3"/>
    <w:rsid w:val="00753F71"/>
    <w:rsid w:val="007A021F"/>
    <w:rsid w:val="007D4E2A"/>
    <w:rsid w:val="008425B9"/>
    <w:rsid w:val="008F6EA2"/>
    <w:rsid w:val="00902184"/>
    <w:rsid w:val="009711B0"/>
    <w:rsid w:val="009848D4"/>
    <w:rsid w:val="00A048F7"/>
    <w:rsid w:val="00A352CB"/>
    <w:rsid w:val="00A80AF6"/>
    <w:rsid w:val="00A91D85"/>
    <w:rsid w:val="00A9790A"/>
    <w:rsid w:val="00AA7A11"/>
    <w:rsid w:val="00AC4FCF"/>
    <w:rsid w:val="00B13010"/>
    <w:rsid w:val="00B16E7C"/>
    <w:rsid w:val="00B56E56"/>
    <w:rsid w:val="00BA2DE1"/>
    <w:rsid w:val="00BC031E"/>
    <w:rsid w:val="00C740D2"/>
    <w:rsid w:val="00CF1BBE"/>
    <w:rsid w:val="00CF70C5"/>
    <w:rsid w:val="00DA4E84"/>
    <w:rsid w:val="00DF6F20"/>
    <w:rsid w:val="00E0124C"/>
    <w:rsid w:val="00E53EE0"/>
    <w:rsid w:val="00E76A38"/>
    <w:rsid w:val="00E87017"/>
    <w:rsid w:val="00EA470D"/>
    <w:rsid w:val="00EE749D"/>
    <w:rsid w:val="00F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666815"/>
  <w15:docId w15:val="{76C6B3B0-8F23-4217-9A81-8DA18C36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C6"/>
  </w:style>
  <w:style w:type="paragraph" w:styleId="Footer">
    <w:name w:val="footer"/>
    <w:basedOn w:val="Normal"/>
    <w:link w:val="FooterChar"/>
    <w:uiPriority w:val="99"/>
    <w:unhideWhenUsed/>
    <w:rsid w:val="00403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DC6"/>
  </w:style>
  <w:style w:type="table" w:styleId="TableGrid">
    <w:name w:val="Table Grid"/>
    <w:basedOn w:val="TableNormal"/>
    <w:uiPriority w:val="59"/>
    <w:rsid w:val="00403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8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8B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F70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70C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A. Bement</dc:creator>
  <cp:lastModifiedBy>David K. Linscott II</cp:lastModifiedBy>
  <cp:revision>2</cp:revision>
  <dcterms:created xsi:type="dcterms:W3CDTF">2020-04-14T20:45:00Z</dcterms:created>
  <dcterms:modified xsi:type="dcterms:W3CDTF">2020-04-14T20:45:00Z</dcterms:modified>
  <cp:contentStatus/>
</cp:coreProperties>
</file>