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35A1" w14:textId="77777777" w:rsidR="000C6D54" w:rsidRDefault="000C6D54" w:rsidP="000C6D54">
      <w:pPr>
        <w:spacing w:after="160" w:line="256" w:lineRule="auto"/>
        <w:jc w:val="center"/>
        <w:rPr>
          <w:rFonts w:ascii="Times New Roman" w:hAnsi="Times New Roman"/>
          <w:b/>
          <w:bCs/>
          <w:sz w:val="24"/>
          <w:szCs w:val="24"/>
        </w:rPr>
      </w:pPr>
      <w:r>
        <w:rPr>
          <w:rFonts w:ascii="Times New Roman" w:hAnsi="Times New Roman"/>
          <w:b/>
          <w:bCs/>
          <w:sz w:val="24"/>
          <w:szCs w:val="24"/>
        </w:rPr>
        <w:t>Profile of the Economy</w:t>
      </w:r>
    </w:p>
    <w:p w14:paraId="73EE504E" w14:textId="77777777" w:rsidR="000C6D54" w:rsidRDefault="000C6D54" w:rsidP="000C6D54">
      <w:pPr>
        <w:spacing w:after="160" w:line="256" w:lineRule="auto"/>
        <w:jc w:val="center"/>
        <w:rPr>
          <w:rFonts w:ascii="Times New Roman" w:hAnsi="Times New Roman"/>
          <w:sz w:val="24"/>
          <w:szCs w:val="24"/>
        </w:rPr>
      </w:pPr>
      <w:r>
        <w:rPr>
          <w:rFonts w:ascii="Times New Roman" w:hAnsi="Times New Roman"/>
          <w:sz w:val="24"/>
          <w:szCs w:val="24"/>
        </w:rPr>
        <w:t>(Office of Macroeconomic Analysis)</w:t>
      </w:r>
    </w:p>
    <w:p w14:paraId="188BB2FB" w14:textId="06AF1E20" w:rsidR="000C6D54" w:rsidRDefault="007616D1" w:rsidP="000C6D54">
      <w:pPr>
        <w:jc w:val="center"/>
        <w:rPr>
          <w:rFonts w:ascii="Times New Roman" w:hAnsi="Times New Roman"/>
          <w:b/>
          <w:bCs/>
          <w:sz w:val="24"/>
          <w:szCs w:val="24"/>
        </w:rPr>
      </w:pPr>
      <w:r>
        <w:rPr>
          <w:rFonts w:ascii="Times New Roman" w:hAnsi="Times New Roman"/>
          <w:sz w:val="24"/>
          <w:szCs w:val="24"/>
        </w:rPr>
        <w:t>May 1</w:t>
      </w:r>
      <w:r w:rsidR="00595D6E">
        <w:rPr>
          <w:rFonts w:ascii="Times New Roman" w:hAnsi="Times New Roman"/>
          <w:sz w:val="24"/>
          <w:szCs w:val="24"/>
        </w:rPr>
        <w:t>9</w:t>
      </w:r>
      <w:r w:rsidR="000C6D54">
        <w:rPr>
          <w:rFonts w:ascii="Times New Roman" w:hAnsi="Times New Roman"/>
          <w:sz w:val="24"/>
          <w:szCs w:val="24"/>
        </w:rPr>
        <w:t>, 2022</w:t>
      </w:r>
    </w:p>
    <w:p w14:paraId="425DF75D" w14:textId="77777777" w:rsidR="000C6D54" w:rsidRDefault="000C6D54" w:rsidP="000C6D54">
      <w:pPr>
        <w:rPr>
          <w:rFonts w:ascii="Times New Roman" w:hAnsi="Times New Roman"/>
          <w:b/>
          <w:bCs/>
          <w:sz w:val="24"/>
          <w:szCs w:val="24"/>
        </w:rPr>
      </w:pPr>
      <w:r>
        <w:rPr>
          <w:rFonts w:ascii="Times New Roman" w:hAnsi="Times New Roman"/>
          <w:b/>
          <w:bCs/>
          <w:sz w:val="24"/>
          <w:szCs w:val="24"/>
        </w:rPr>
        <w:t>Introduction</w:t>
      </w:r>
    </w:p>
    <w:p w14:paraId="16FFC621" w14:textId="77777777" w:rsidR="004943F8" w:rsidRDefault="004943F8" w:rsidP="004943F8">
      <w:pPr>
        <w:pStyle w:val="NoSpacing"/>
        <w:rPr>
          <w:rFonts w:ascii="Times New Roman" w:hAnsi="Times New Roman"/>
          <w:color w:val="000000" w:themeColor="text1"/>
          <w:sz w:val="24"/>
          <w:szCs w:val="24"/>
        </w:rPr>
      </w:pPr>
      <w:r w:rsidRPr="00A0209D">
        <w:rPr>
          <w:rFonts w:ascii="Times New Roman" w:hAnsi="Times New Roman"/>
          <w:color w:val="000000" w:themeColor="text1"/>
          <w:sz w:val="24"/>
          <w:szCs w:val="24"/>
        </w:rPr>
        <w:t xml:space="preserve">Real GDP growth </w:t>
      </w:r>
      <w:r>
        <w:rPr>
          <w:rFonts w:ascii="Times New Roman" w:hAnsi="Times New Roman"/>
          <w:color w:val="000000" w:themeColor="text1"/>
          <w:sz w:val="24"/>
          <w:szCs w:val="24"/>
        </w:rPr>
        <w:t>declined in the first quarter of 2022, following a rapid acceleration of 6.9 percent in last year’s final quarter.  The outright decline in real GDP was driven by sharp swings in the contributions of net exports and inventory investment, two components which had added strongly to growth in the fourth quarter.  However, underlying private final demand accelerated in the first quarter relative to the second half of 2021.  Household consumption and business and residential investment grew at healthy rates despite a backdrop which included</w:t>
      </w:r>
      <w:r w:rsidRPr="00537FFC">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a </w:t>
      </w:r>
      <w:r w:rsidRPr="00E51D55">
        <w:rPr>
          <w:rFonts w:ascii="Times New Roman" w:hAnsi="Times New Roman"/>
          <w:color w:val="000000" w:themeColor="text1"/>
          <w:sz w:val="24"/>
          <w:szCs w:val="24"/>
        </w:rPr>
        <w:t>resurgence of COVID-19 cases from the Omicron variant</w:t>
      </w:r>
      <w:r>
        <w:rPr>
          <w:rFonts w:ascii="Times New Roman" w:hAnsi="Times New Roman"/>
          <w:color w:val="000000" w:themeColor="text1"/>
          <w:sz w:val="24"/>
          <w:szCs w:val="24"/>
        </w:rPr>
        <w:t>, expectations of tightening monetary policy, and Russia’s invasion of Ukraine and the consequent effects on sentiment and prices for oil and food.</w:t>
      </w:r>
    </w:p>
    <w:p w14:paraId="6D608D64" w14:textId="77777777" w:rsidR="004943F8" w:rsidRDefault="004943F8" w:rsidP="004943F8">
      <w:pPr>
        <w:pStyle w:val="NoSpacing"/>
        <w:rPr>
          <w:rFonts w:ascii="Times New Roman" w:hAnsi="Times New Roman"/>
          <w:color w:val="000000" w:themeColor="text1"/>
          <w:sz w:val="24"/>
          <w:szCs w:val="24"/>
        </w:rPr>
      </w:pPr>
    </w:p>
    <w:p w14:paraId="2C1D3861" w14:textId="77777777" w:rsidR="004943F8" w:rsidRPr="00A0209D" w:rsidRDefault="004943F8" w:rsidP="004943F8">
      <w:pPr>
        <w:pStyle w:val="NoSpacing"/>
        <w:rPr>
          <w:rFonts w:ascii="Times New Roman" w:hAnsi="Times New Roman"/>
          <w:color w:val="000000" w:themeColor="text1"/>
          <w:sz w:val="24"/>
          <w:szCs w:val="24"/>
        </w:rPr>
      </w:pPr>
      <w:r>
        <w:rPr>
          <w:rFonts w:ascii="Times New Roman" w:hAnsi="Times New Roman"/>
          <w:color w:val="000000" w:themeColor="text1"/>
          <w:sz w:val="24"/>
          <w:szCs w:val="24"/>
        </w:rPr>
        <w:t>Labor market conditions improved further during the first four months of 2022, after making record gains in 2021—including the largest advance in payroll job creation, and the largest drops in the headline and the U-6 (broadest) unemployment rates in a calendar year.  With jobs plentiful and workers in short supply, strong nominal wage gains drew more prime-age (ages 25-54) workers back into the labor force</w:t>
      </w:r>
      <w:r w:rsidRPr="00952A05">
        <w:rPr>
          <w:rFonts w:ascii="Times New Roman" w:hAnsi="Times New Roman"/>
          <w:color w:val="000000" w:themeColor="text1"/>
          <w:sz w:val="24"/>
          <w:szCs w:val="24"/>
        </w:rPr>
        <w:t>.</w:t>
      </w:r>
    </w:p>
    <w:p w14:paraId="7808AF3C" w14:textId="77777777" w:rsidR="004943F8" w:rsidRPr="00A0209D" w:rsidRDefault="004943F8" w:rsidP="004943F8">
      <w:pPr>
        <w:pStyle w:val="NoSpacing"/>
        <w:rPr>
          <w:rFonts w:ascii="Times New Roman" w:hAnsi="Times New Roman"/>
          <w:color w:val="000000" w:themeColor="text1"/>
          <w:sz w:val="24"/>
          <w:szCs w:val="24"/>
        </w:rPr>
      </w:pPr>
    </w:p>
    <w:p w14:paraId="00379460" w14:textId="77777777" w:rsidR="004943F8" w:rsidRDefault="004943F8" w:rsidP="004943F8">
      <w:pPr>
        <w:spacing w:after="0" w:line="240" w:lineRule="auto"/>
        <w:rPr>
          <w:rFonts w:ascii="Times New Roman" w:hAnsi="Times New Roman"/>
          <w:sz w:val="24"/>
          <w:szCs w:val="24"/>
        </w:rPr>
      </w:pPr>
      <w:r>
        <w:rPr>
          <w:rFonts w:ascii="Times New Roman" w:hAnsi="Times New Roman"/>
          <w:sz w:val="24"/>
          <w:szCs w:val="24"/>
        </w:rPr>
        <w:t>However, supply-demand mismatches in the economy have driven headline—as well as core—inflation higher thus far in 2022.  Rising inflation in 2021 reflected in part elevated demand for goods, originating from high household savings as well as constrained supply due to underinvestment by firms during the pandemic and supply-chain disruptions.  These factors continue to influence prices this year, and headline inflation has been further elevated by rising prices for energy and grains related to Russia’s invasion of Ukraine.  In addition, the persistence of the pandemic in Asia has further disrupted supply chains, leading to lean inventories and upward pressure on prices.  Still, year-over-year core inflation possibly peaked in spring 2022, given the waning severity of the pandemic, federal government efforts to contain energy prices, and an easing of supply bottlenecks in some markets.</w:t>
      </w:r>
    </w:p>
    <w:p w14:paraId="6F43D8DA" w14:textId="77777777" w:rsidR="004943F8" w:rsidRDefault="004943F8" w:rsidP="004943F8">
      <w:pPr>
        <w:spacing w:after="0" w:line="240" w:lineRule="auto"/>
        <w:rPr>
          <w:rFonts w:ascii="Times New Roman" w:hAnsi="Times New Roman"/>
          <w:color w:val="000000"/>
          <w:sz w:val="24"/>
          <w:szCs w:val="24"/>
          <w:highlight w:val="yellow"/>
        </w:rPr>
      </w:pPr>
    </w:p>
    <w:p w14:paraId="18E302F5" w14:textId="77777777" w:rsidR="004943F8" w:rsidRDefault="004943F8" w:rsidP="004943F8">
      <w:pPr>
        <w:spacing w:after="0" w:line="240" w:lineRule="auto"/>
        <w:rPr>
          <w:rFonts w:ascii="Times New Roman" w:hAnsi="Times New Roman"/>
          <w:sz w:val="24"/>
          <w:szCs w:val="24"/>
        </w:rPr>
      </w:pPr>
      <w:r w:rsidRPr="00896788">
        <w:rPr>
          <w:rFonts w:ascii="Times New Roman" w:hAnsi="Times New Roman"/>
          <w:color w:val="000000"/>
          <w:sz w:val="24"/>
          <w:szCs w:val="24"/>
        </w:rPr>
        <w:t xml:space="preserve">A consensus of private forecasters expects real GDP growth to </w:t>
      </w:r>
      <w:r w:rsidRPr="001266CF">
        <w:rPr>
          <w:rFonts w:ascii="Times New Roman" w:hAnsi="Times New Roman"/>
          <w:color w:val="000000"/>
          <w:sz w:val="24"/>
          <w:szCs w:val="24"/>
        </w:rPr>
        <w:t>accelerate to 2.8 percent at an annual rate in the second quarter of 2022.  On a fourth quarter over fourth quarter basis, GDP growth is expected to be 1.5 percent in 2022.</w:t>
      </w:r>
    </w:p>
    <w:p w14:paraId="0F24E7EF" w14:textId="77777777" w:rsidR="000C6D54" w:rsidRDefault="000C6D54" w:rsidP="000C6D54">
      <w:pPr>
        <w:spacing w:after="0" w:line="240" w:lineRule="auto"/>
        <w:rPr>
          <w:rFonts w:ascii="Times New Roman" w:hAnsi="Times New Roman"/>
          <w:sz w:val="24"/>
          <w:szCs w:val="24"/>
        </w:rPr>
      </w:pPr>
    </w:p>
    <w:p w14:paraId="15E26ABB" w14:textId="77777777" w:rsidR="000C6D54" w:rsidRDefault="000C6D54" w:rsidP="000C6D54">
      <w:pPr>
        <w:pStyle w:val="NoSpacing"/>
        <w:rPr>
          <w:rFonts w:ascii="Times New Roman" w:hAnsi="Times New Roman"/>
          <w:color w:val="000000"/>
          <w:sz w:val="24"/>
          <w:szCs w:val="24"/>
          <w:highlight w:val="yellow"/>
        </w:rPr>
      </w:pPr>
    </w:p>
    <w:p w14:paraId="2A255689" w14:textId="77777777" w:rsidR="000C6D54" w:rsidRDefault="000C6D54" w:rsidP="000C6D54">
      <w:pPr>
        <w:rPr>
          <w:rFonts w:ascii="Times New Roman" w:hAnsi="Times New Roman"/>
          <w:b/>
          <w:bCs/>
          <w:sz w:val="24"/>
          <w:szCs w:val="24"/>
        </w:rPr>
      </w:pPr>
      <w:r>
        <w:rPr>
          <w:rFonts w:ascii="Times New Roman" w:hAnsi="Times New Roman"/>
          <w:b/>
          <w:bCs/>
          <w:sz w:val="24"/>
          <w:szCs w:val="24"/>
        </w:rPr>
        <w:t>Economic Growth</w:t>
      </w:r>
    </w:p>
    <w:p w14:paraId="4394E9DD" w14:textId="77777777" w:rsidR="004943F8" w:rsidRDefault="004943F8" w:rsidP="004943F8">
      <w:pPr>
        <w:pStyle w:val="NoSpacing"/>
        <w:rPr>
          <w:rFonts w:ascii="Times New Roman" w:hAnsi="Times New Roman"/>
          <w:color w:val="000000" w:themeColor="text1"/>
          <w:sz w:val="24"/>
          <w:szCs w:val="24"/>
          <w:highlight w:val="yellow"/>
        </w:rPr>
      </w:pPr>
      <w:r w:rsidRPr="00AC7D35">
        <w:rPr>
          <w:rFonts w:ascii="Times New Roman" w:hAnsi="Times New Roman"/>
          <w:color w:val="000000" w:themeColor="text1"/>
          <w:sz w:val="24"/>
          <w:szCs w:val="24"/>
        </w:rPr>
        <w:t xml:space="preserve">According to the advance estimate, real GDP </w:t>
      </w:r>
      <w:r>
        <w:rPr>
          <w:rFonts w:ascii="Times New Roman" w:hAnsi="Times New Roman"/>
          <w:color w:val="000000" w:themeColor="text1"/>
          <w:sz w:val="24"/>
          <w:szCs w:val="24"/>
        </w:rPr>
        <w:t xml:space="preserve">declined by 1.4 percent </w:t>
      </w:r>
      <w:r w:rsidRPr="00AC7D35">
        <w:rPr>
          <w:rFonts w:ascii="Times New Roman" w:hAnsi="Times New Roman"/>
          <w:color w:val="000000" w:themeColor="text1"/>
          <w:sz w:val="24"/>
          <w:szCs w:val="24"/>
        </w:rPr>
        <w:t xml:space="preserve">at an annual rate in the first quarter of 2022, following an unusually rapid 6.9 percent jump in the final quarter of </w:t>
      </w:r>
      <w:r w:rsidRPr="00E51D55">
        <w:rPr>
          <w:rFonts w:ascii="Times New Roman" w:hAnsi="Times New Roman"/>
          <w:color w:val="000000" w:themeColor="text1"/>
          <w:sz w:val="24"/>
          <w:szCs w:val="24"/>
        </w:rPr>
        <w:t xml:space="preserve">2021.  The slowdown in the first quarter reflected </w:t>
      </w:r>
      <w:r>
        <w:rPr>
          <w:rFonts w:ascii="Times New Roman" w:hAnsi="Times New Roman"/>
          <w:color w:val="000000" w:themeColor="text1"/>
          <w:sz w:val="24"/>
          <w:szCs w:val="24"/>
        </w:rPr>
        <w:t>greater domestic demand for imports, higher prices and weaker demand for U.S. exports, slower growth of private inventories, and higher prices for government spending.</w:t>
      </w:r>
    </w:p>
    <w:p w14:paraId="42DCAC2F" w14:textId="77777777" w:rsidR="004943F8" w:rsidRPr="00020A8E" w:rsidRDefault="004943F8" w:rsidP="004943F8">
      <w:pPr>
        <w:pStyle w:val="NoSpacing"/>
        <w:rPr>
          <w:rFonts w:ascii="Times New Roman" w:hAnsi="Times New Roman"/>
          <w:color w:val="000000" w:themeColor="text1"/>
          <w:sz w:val="24"/>
          <w:szCs w:val="24"/>
          <w:highlight w:val="yellow"/>
        </w:rPr>
      </w:pPr>
    </w:p>
    <w:p w14:paraId="26C66C4E" w14:textId="77777777" w:rsidR="004943F8" w:rsidRPr="00020A8E" w:rsidRDefault="004943F8" w:rsidP="004943F8">
      <w:pPr>
        <w:pStyle w:val="NoSpacing"/>
        <w:rPr>
          <w:rFonts w:ascii="Times New Roman" w:hAnsi="Times New Roman"/>
          <w:color w:val="000000" w:themeColor="text1"/>
          <w:sz w:val="24"/>
          <w:szCs w:val="24"/>
          <w:highlight w:val="yellow"/>
        </w:rPr>
      </w:pPr>
      <w:r>
        <w:rPr>
          <w:rFonts w:ascii="Times New Roman" w:hAnsi="Times New Roman"/>
          <w:color w:val="000000" w:themeColor="text1"/>
          <w:sz w:val="24"/>
          <w:szCs w:val="24"/>
        </w:rPr>
        <w:lastRenderedPageBreak/>
        <w:t xml:space="preserve">By contrast, private domestic demand strengthened in early 2022.  </w:t>
      </w:r>
      <w:r w:rsidRPr="002366FC">
        <w:rPr>
          <w:rFonts w:ascii="Times New Roman" w:hAnsi="Times New Roman"/>
          <w:color w:val="000000" w:themeColor="text1"/>
          <w:sz w:val="24"/>
          <w:szCs w:val="24"/>
        </w:rPr>
        <w:t xml:space="preserve">Real private domestic final purchases (PDFP)—the sum of personal consumption, business fixed investment, and residential </w:t>
      </w:r>
      <w:r w:rsidRPr="00921E50">
        <w:rPr>
          <w:rFonts w:ascii="Times New Roman" w:hAnsi="Times New Roman"/>
          <w:color w:val="000000" w:themeColor="text1"/>
          <w:sz w:val="24"/>
          <w:szCs w:val="24"/>
        </w:rPr>
        <w:t xml:space="preserve">investment—accelerated </w:t>
      </w:r>
      <w:r>
        <w:rPr>
          <w:rFonts w:ascii="Times New Roman" w:hAnsi="Times New Roman"/>
          <w:color w:val="000000" w:themeColor="text1"/>
          <w:sz w:val="24"/>
          <w:szCs w:val="24"/>
        </w:rPr>
        <w:t xml:space="preserve">to a </w:t>
      </w:r>
      <w:r w:rsidRPr="00921E50">
        <w:rPr>
          <w:rFonts w:ascii="Times New Roman" w:hAnsi="Times New Roman"/>
          <w:color w:val="000000" w:themeColor="text1"/>
          <w:sz w:val="24"/>
          <w:szCs w:val="24"/>
        </w:rPr>
        <w:t xml:space="preserve">3.7 percent </w:t>
      </w:r>
      <w:r>
        <w:rPr>
          <w:rFonts w:ascii="Times New Roman" w:hAnsi="Times New Roman"/>
          <w:color w:val="000000" w:themeColor="text1"/>
          <w:sz w:val="24"/>
          <w:szCs w:val="24"/>
        </w:rPr>
        <w:t xml:space="preserve">growth rate </w:t>
      </w:r>
      <w:r w:rsidRPr="00921E50">
        <w:rPr>
          <w:rFonts w:ascii="Times New Roman" w:hAnsi="Times New Roman"/>
          <w:color w:val="000000" w:themeColor="text1"/>
          <w:sz w:val="24"/>
          <w:szCs w:val="24"/>
        </w:rPr>
        <w:t>at an annual rate</w:t>
      </w:r>
      <w:r>
        <w:rPr>
          <w:rFonts w:ascii="Times New Roman" w:hAnsi="Times New Roman"/>
          <w:color w:val="000000" w:themeColor="text1"/>
          <w:sz w:val="24"/>
          <w:szCs w:val="24"/>
        </w:rPr>
        <w:t xml:space="preserve"> </w:t>
      </w:r>
      <w:r w:rsidRPr="00921E50">
        <w:rPr>
          <w:rFonts w:ascii="Times New Roman" w:hAnsi="Times New Roman"/>
          <w:color w:val="000000" w:themeColor="text1"/>
          <w:sz w:val="24"/>
          <w:szCs w:val="24"/>
        </w:rPr>
        <w:t xml:space="preserve">during the first quarter, following a 2.6 percent advance in the fourth quarter.  </w:t>
      </w:r>
      <w:r>
        <w:rPr>
          <w:rFonts w:ascii="Times New Roman" w:hAnsi="Times New Roman"/>
          <w:color w:val="000000" w:themeColor="text1"/>
          <w:sz w:val="24"/>
          <w:szCs w:val="24"/>
        </w:rPr>
        <w:t>B</w:t>
      </w:r>
      <w:r w:rsidRPr="00921E50">
        <w:rPr>
          <w:rFonts w:ascii="Times New Roman" w:hAnsi="Times New Roman"/>
          <w:color w:val="000000" w:themeColor="text1"/>
          <w:sz w:val="24"/>
          <w:szCs w:val="24"/>
        </w:rPr>
        <w:t xml:space="preserve">y stripping out </w:t>
      </w:r>
      <w:r>
        <w:rPr>
          <w:rFonts w:ascii="Times New Roman" w:hAnsi="Times New Roman"/>
          <w:color w:val="000000" w:themeColor="text1"/>
          <w:sz w:val="24"/>
          <w:szCs w:val="24"/>
        </w:rPr>
        <w:t xml:space="preserve">international trade, </w:t>
      </w:r>
      <w:r w:rsidRPr="00921E50">
        <w:rPr>
          <w:rFonts w:ascii="Times New Roman" w:hAnsi="Times New Roman"/>
          <w:color w:val="000000" w:themeColor="text1"/>
          <w:sz w:val="24"/>
          <w:szCs w:val="24"/>
        </w:rPr>
        <w:t>government spending</w:t>
      </w:r>
      <w:r>
        <w:rPr>
          <w:rFonts w:ascii="Times New Roman" w:hAnsi="Times New Roman"/>
          <w:color w:val="000000" w:themeColor="text1"/>
          <w:sz w:val="24"/>
          <w:szCs w:val="24"/>
        </w:rPr>
        <w:t>,</w:t>
      </w:r>
      <w:r w:rsidRPr="00921E50">
        <w:rPr>
          <w:rFonts w:ascii="Times New Roman" w:hAnsi="Times New Roman"/>
          <w:color w:val="000000" w:themeColor="text1"/>
          <w:sz w:val="24"/>
          <w:szCs w:val="24"/>
        </w:rPr>
        <w:t xml:space="preserve"> and the volatile inventory component, </w:t>
      </w:r>
      <w:r>
        <w:rPr>
          <w:rFonts w:ascii="Times New Roman" w:hAnsi="Times New Roman"/>
          <w:color w:val="000000" w:themeColor="text1"/>
          <w:sz w:val="24"/>
          <w:szCs w:val="24"/>
        </w:rPr>
        <w:t>PDFP is typically a stronger indicator of future GDP increases and</w:t>
      </w:r>
      <w:r w:rsidRPr="00921E50">
        <w:rPr>
          <w:rFonts w:ascii="Times New Roman" w:hAnsi="Times New Roman"/>
          <w:color w:val="000000" w:themeColor="text1"/>
          <w:sz w:val="24"/>
          <w:szCs w:val="24"/>
        </w:rPr>
        <w:t xml:space="preserve"> </w:t>
      </w:r>
      <w:r>
        <w:rPr>
          <w:rFonts w:ascii="Times New Roman" w:hAnsi="Times New Roman"/>
          <w:color w:val="000000" w:themeColor="text1"/>
          <w:sz w:val="24"/>
          <w:szCs w:val="24"/>
        </w:rPr>
        <w:t>represents</w:t>
      </w:r>
      <w:r w:rsidRPr="00921E50">
        <w:rPr>
          <w:rFonts w:ascii="Times New Roman" w:hAnsi="Times New Roman"/>
          <w:color w:val="000000" w:themeColor="text1"/>
          <w:sz w:val="24"/>
          <w:szCs w:val="24"/>
        </w:rPr>
        <w:t xml:space="preserve"> the</w:t>
      </w:r>
      <w:r>
        <w:rPr>
          <w:rFonts w:ascii="Times New Roman" w:hAnsi="Times New Roman"/>
          <w:color w:val="000000" w:themeColor="text1"/>
          <w:sz w:val="24"/>
          <w:szCs w:val="24"/>
        </w:rPr>
        <w:t xml:space="preserve"> private sector’s capacity to generate self-sustaining growth.</w:t>
      </w:r>
    </w:p>
    <w:p w14:paraId="2535AF06" w14:textId="77777777" w:rsidR="004943F8" w:rsidRPr="00020A8E" w:rsidRDefault="004943F8" w:rsidP="004943F8">
      <w:pPr>
        <w:spacing w:after="0" w:line="240" w:lineRule="auto"/>
        <w:rPr>
          <w:highlight w:val="yellow"/>
        </w:rPr>
      </w:pPr>
    </w:p>
    <w:p w14:paraId="178845FC" w14:textId="77777777" w:rsidR="004943F8" w:rsidRDefault="004943F8" w:rsidP="004943F8">
      <w:pPr>
        <w:spacing w:after="0" w:line="240" w:lineRule="auto"/>
        <w:rPr>
          <w:rFonts w:ascii="Times New Roman" w:hAnsi="Times New Roman"/>
          <w:color w:val="000000" w:themeColor="text1"/>
          <w:sz w:val="24"/>
          <w:szCs w:val="24"/>
        </w:rPr>
      </w:pPr>
      <w:r w:rsidRPr="006C42A2">
        <w:rPr>
          <w:rFonts w:ascii="Times New Roman" w:hAnsi="Times New Roman"/>
          <w:color w:val="000000" w:themeColor="text1"/>
          <w:sz w:val="24"/>
          <w:szCs w:val="24"/>
        </w:rPr>
        <w:t>Real personal consumption expenditures (PCE)—the largest component of PDFP and roughly two-thirds of real GDP</w:t>
      </w:r>
      <w:r w:rsidRPr="00E92606">
        <w:rPr>
          <w:rFonts w:ascii="Times New Roman" w:hAnsi="Times New Roman"/>
          <w:color w:val="000000" w:themeColor="text1"/>
          <w:sz w:val="24"/>
          <w:szCs w:val="24"/>
        </w:rPr>
        <w:t>—rose by 2.7 percent in the first quarter on an annualized basis, up</w:t>
      </w:r>
      <w:r>
        <w:rPr>
          <w:rFonts w:ascii="Times New Roman" w:hAnsi="Times New Roman"/>
          <w:color w:val="000000" w:themeColor="text1"/>
          <w:sz w:val="24"/>
          <w:szCs w:val="24"/>
        </w:rPr>
        <w:t xml:space="preserve"> slightly</w:t>
      </w:r>
      <w:r w:rsidRPr="00E92606">
        <w:rPr>
          <w:rFonts w:ascii="Times New Roman" w:hAnsi="Times New Roman"/>
          <w:color w:val="000000" w:themeColor="text1"/>
          <w:sz w:val="24"/>
          <w:szCs w:val="24"/>
        </w:rPr>
        <w:t xml:space="preserve"> from the 2.5 percent increase in the fourth quarter.  The first-quarter advance reflected an acceleration in consumption of services, which grew by 4.3 percent and </w:t>
      </w:r>
      <w:r>
        <w:rPr>
          <w:rFonts w:ascii="Times New Roman" w:hAnsi="Times New Roman"/>
          <w:color w:val="000000" w:themeColor="text1"/>
          <w:sz w:val="24"/>
          <w:szCs w:val="24"/>
        </w:rPr>
        <w:t xml:space="preserve">more than </w:t>
      </w:r>
      <w:r w:rsidRPr="00E92606">
        <w:rPr>
          <w:rFonts w:ascii="Times New Roman" w:hAnsi="Times New Roman"/>
          <w:color w:val="000000" w:themeColor="text1"/>
          <w:sz w:val="24"/>
          <w:szCs w:val="24"/>
        </w:rPr>
        <w:t xml:space="preserve">offset a 0.1 percent decline in goods purchases.  </w:t>
      </w:r>
      <w:r>
        <w:rPr>
          <w:rFonts w:ascii="Times New Roman" w:hAnsi="Times New Roman"/>
          <w:color w:val="000000" w:themeColor="text1"/>
          <w:sz w:val="24"/>
          <w:szCs w:val="24"/>
        </w:rPr>
        <w:t>T</w:t>
      </w:r>
      <w:r w:rsidRPr="00E92606">
        <w:rPr>
          <w:rFonts w:ascii="Times New Roman" w:hAnsi="Times New Roman"/>
          <w:color w:val="000000" w:themeColor="text1"/>
          <w:sz w:val="24"/>
          <w:szCs w:val="24"/>
        </w:rPr>
        <w:t xml:space="preserve">he </w:t>
      </w:r>
      <w:r>
        <w:rPr>
          <w:rFonts w:ascii="Times New Roman" w:hAnsi="Times New Roman"/>
          <w:color w:val="000000" w:themeColor="text1"/>
          <w:sz w:val="24"/>
          <w:szCs w:val="24"/>
        </w:rPr>
        <w:t>negligible</w:t>
      </w:r>
      <w:r w:rsidRPr="00E92606">
        <w:rPr>
          <w:rFonts w:ascii="Times New Roman" w:hAnsi="Times New Roman"/>
          <w:color w:val="000000" w:themeColor="text1"/>
          <w:sz w:val="24"/>
          <w:szCs w:val="24"/>
        </w:rPr>
        <w:t xml:space="preserve"> decline in goods</w:t>
      </w:r>
      <w:r>
        <w:rPr>
          <w:rFonts w:ascii="Times New Roman" w:hAnsi="Times New Roman"/>
          <w:color w:val="000000" w:themeColor="text1"/>
          <w:sz w:val="24"/>
          <w:szCs w:val="24"/>
        </w:rPr>
        <w:t xml:space="preserve"> consumption reflected higher</w:t>
      </w:r>
      <w:r w:rsidRPr="00E92606">
        <w:rPr>
          <w:rFonts w:ascii="Times New Roman" w:hAnsi="Times New Roman"/>
          <w:color w:val="000000" w:themeColor="text1"/>
          <w:sz w:val="24"/>
          <w:szCs w:val="24"/>
        </w:rPr>
        <w:t xml:space="preserve"> purchases of durable goods</w:t>
      </w:r>
      <w:r>
        <w:rPr>
          <w:rFonts w:ascii="Times New Roman" w:hAnsi="Times New Roman"/>
          <w:color w:val="000000" w:themeColor="text1"/>
          <w:sz w:val="24"/>
          <w:szCs w:val="24"/>
        </w:rPr>
        <w:t xml:space="preserve"> (particularly of motor vehicles and parts) being fully offset by lower spending on real nondurables—notably gasoline as demand adjusted to the sharp jump in gas prices during the first quarter</w:t>
      </w:r>
      <w:r w:rsidRPr="00E92606">
        <w:rPr>
          <w:rFonts w:ascii="Times New Roman" w:hAnsi="Times New Roman"/>
          <w:color w:val="000000" w:themeColor="text1"/>
          <w:sz w:val="24"/>
          <w:szCs w:val="24"/>
        </w:rPr>
        <w:t>.</w:t>
      </w:r>
    </w:p>
    <w:p w14:paraId="61F18EFD" w14:textId="77777777" w:rsidR="004943F8" w:rsidRDefault="004943F8" w:rsidP="004943F8">
      <w:pPr>
        <w:spacing w:after="0" w:line="240" w:lineRule="auto"/>
        <w:rPr>
          <w:rFonts w:ascii="Times New Roman" w:hAnsi="Times New Roman"/>
          <w:color w:val="000000" w:themeColor="text1"/>
          <w:sz w:val="24"/>
          <w:szCs w:val="24"/>
        </w:rPr>
      </w:pPr>
    </w:p>
    <w:p w14:paraId="0B0773D4" w14:textId="77777777" w:rsidR="004943F8" w:rsidRPr="00DF0F15" w:rsidRDefault="004943F8" w:rsidP="004943F8">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Meanwhile, the continued recovery in services PCE was</w:t>
      </w:r>
      <w:r w:rsidRPr="00E92606">
        <w:rPr>
          <w:rFonts w:ascii="Times New Roman" w:hAnsi="Times New Roman"/>
          <w:color w:val="000000" w:themeColor="text1"/>
          <w:sz w:val="24"/>
          <w:szCs w:val="24"/>
        </w:rPr>
        <w:t xml:space="preserve"> led by spending on health care services but also reflect</w:t>
      </w:r>
      <w:r>
        <w:rPr>
          <w:rFonts w:ascii="Times New Roman" w:hAnsi="Times New Roman"/>
          <w:color w:val="000000" w:themeColor="text1"/>
          <w:sz w:val="24"/>
          <w:szCs w:val="24"/>
        </w:rPr>
        <w:t>ed</w:t>
      </w:r>
      <w:r w:rsidRPr="00E9260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strong growth in imputed categories such as shelter and financial services.  In addition, </w:t>
      </w:r>
      <w:r w:rsidRPr="00E92606">
        <w:rPr>
          <w:rFonts w:ascii="Times New Roman" w:hAnsi="Times New Roman"/>
          <w:color w:val="000000" w:themeColor="text1"/>
          <w:sz w:val="24"/>
          <w:szCs w:val="24"/>
        </w:rPr>
        <w:t>consumers return</w:t>
      </w:r>
      <w:r>
        <w:rPr>
          <w:rFonts w:ascii="Times New Roman" w:hAnsi="Times New Roman"/>
          <w:color w:val="000000" w:themeColor="text1"/>
          <w:sz w:val="24"/>
          <w:szCs w:val="24"/>
        </w:rPr>
        <w:t>ed</w:t>
      </w:r>
      <w:r w:rsidRPr="00E92606">
        <w:rPr>
          <w:rFonts w:ascii="Times New Roman" w:hAnsi="Times New Roman"/>
          <w:color w:val="000000" w:themeColor="text1"/>
          <w:sz w:val="24"/>
          <w:szCs w:val="24"/>
        </w:rPr>
        <w:t xml:space="preserve"> to pandemic-sensitive sectors</w:t>
      </w:r>
      <w:r>
        <w:rPr>
          <w:rFonts w:ascii="Times New Roman" w:hAnsi="Times New Roman"/>
          <w:color w:val="000000" w:themeColor="text1"/>
          <w:sz w:val="24"/>
          <w:szCs w:val="24"/>
        </w:rPr>
        <w:t>,</w:t>
      </w:r>
      <w:r w:rsidRPr="00E92606">
        <w:rPr>
          <w:rFonts w:ascii="Times New Roman" w:hAnsi="Times New Roman"/>
          <w:color w:val="000000" w:themeColor="text1"/>
          <w:sz w:val="24"/>
          <w:szCs w:val="24"/>
        </w:rPr>
        <w:t xml:space="preserve"> such as travel</w:t>
      </w:r>
      <w:r>
        <w:rPr>
          <w:rFonts w:ascii="Times New Roman" w:hAnsi="Times New Roman"/>
          <w:color w:val="000000" w:themeColor="text1"/>
          <w:sz w:val="24"/>
          <w:szCs w:val="24"/>
        </w:rPr>
        <w:t xml:space="preserve"> and recreation services, as the Omicron wave faded throughout the quarter</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However, despite the strong growth in services PCE in the first quarter</w:t>
      </w:r>
      <w:r w:rsidRPr="00DF0F15">
        <w:rPr>
          <w:rFonts w:ascii="Times New Roman" w:hAnsi="Times New Roman"/>
          <w:color w:val="000000" w:themeColor="text1"/>
          <w:sz w:val="24"/>
          <w:szCs w:val="24"/>
        </w:rPr>
        <w:t xml:space="preserve">, the composition of </w:t>
      </w:r>
      <w:r>
        <w:rPr>
          <w:rFonts w:ascii="Times New Roman" w:hAnsi="Times New Roman"/>
          <w:color w:val="000000" w:themeColor="text1"/>
          <w:sz w:val="24"/>
          <w:szCs w:val="24"/>
        </w:rPr>
        <w:t xml:space="preserve">total </w:t>
      </w:r>
      <w:r w:rsidRPr="00DF0F15">
        <w:rPr>
          <w:rFonts w:ascii="Times New Roman" w:hAnsi="Times New Roman"/>
          <w:color w:val="000000" w:themeColor="text1"/>
          <w:sz w:val="24"/>
          <w:szCs w:val="24"/>
        </w:rPr>
        <w:t>PCE remains weighted more heavily toward goods than services</w:t>
      </w:r>
      <w:r>
        <w:rPr>
          <w:rFonts w:ascii="Times New Roman" w:hAnsi="Times New Roman"/>
          <w:color w:val="000000" w:themeColor="text1"/>
          <w:sz w:val="24"/>
          <w:szCs w:val="24"/>
        </w:rPr>
        <w:t>: a</w:t>
      </w:r>
      <w:r w:rsidRPr="00DF0F15">
        <w:rPr>
          <w:rFonts w:ascii="Times New Roman" w:hAnsi="Times New Roman"/>
          <w:color w:val="000000" w:themeColor="text1"/>
          <w:sz w:val="24"/>
          <w:szCs w:val="24"/>
        </w:rPr>
        <w:t xml:space="preserve">s of the </w:t>
      </w:r>
      <w:r>
        <w:rPr>
          <w:rFonts w:ascii="Times New Roman" w:hAnsi="Times New Roman"/>
          <w:color w:val="000000" w:themeColor="text1"/>
          <w:sz w:val="24"/>
          <w:szCs w:val="24"/>
        </w:rPr>
        <w:t>first</w:t>
      </w:r>
      <w:r w:rsidRPr="00DF0F15">
        <w:rPr>
          <w:rFonts w:ascii="Times New Roman" w:hAnsi="Times New Roman"/>
          <w:color w:val="000000" w:themeColor="text1"/>
          <w:sz w:val="24"/>
          <w:szCs w:val="24"/>
        </w:rPr>
        <w:t xml:space="preserve"> quarter of 202</w:t>
      </w:r>
      <w:r>
        <w:rPr>
          <w:rFonts w:ascii="Times New Roman" w:hAnsi="Times New Roman"/>
          <w:color w:val="000000" w:themeColor="text1"/>
          <w:sz w:val="24"/>
          <w:szCs w:val="24"/>
        </w:rPr>
        <w:t>2</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goods </w:t>
      </w:r>
      <w:r w:rsidRPr="00DF0F15">
        <w:rPr>
          <w:rFonts w:ascii="Times New Roman" w:hAnsi="Times New Roman"/>
          <w:color w:val="000000" w:themeColor="text1"/>
          <w:sz w:val="24"/>
          <w:szCs w:val="24"/>
        </w:rPr>
        <w:t xml:space="preserve">PCE was still </w:t>
      </w:r>
      <w:r>
        <w:rPr>
          <w:rFonts w:ascii="Times New Roman" w:hAnsi="Times New Roman"/>
          <w:color w:val="000000" w:themeColor="text1"/>
          <w:sz w:val="24"/>
          <w:szCs w:val="24"/>
        </w:rPr>
        <w:t>over</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6</w:t>
      </w:r>
      <w:r w:rsidRPr="00DF0F15">
        <w:rPr>
          <w:rFonts w:ascii="Times New Roman" w:hAnsi="Times New Roman"/>
          <w:color w:val="000000" w:themeColor="text1"/>
          <w:sz w:val="24"/>
          <w:szCs w:val="24"/>
        </w:rPr>
        <w:t xml:space="preserve"> percent higher than </w:t>
      </w:r>
      <w:r>
        <w:rPr>
          <w:rFonts w:ascii="Times New Roman" w:hAnsi="Times New Roman"/>
          <w:color w:val="000000" w:themeColor="text1"/>
          <w:sz w:val="24"/>
          <w:szCs w:val="24"/>
        </w:rPr>
        <w:t>the pre-</w:t>
      </w:r>
      <w:r w:rsidRPr="00DF0F15">
        <w:rPr>
          <w:rFonts w:ascii="Times New Roman" w:hAnsi="Times New Roman"/>
          <w:color w:val="000000" w:themeColor="text1"/>
          <w:sz w:val="24"/>
          <w:szCs w:val="24"/>
        </w:rPr>
        <w:t>pandemic</w:t>
      </w:r>
      <w:r>
        <w:rPr>
          <w:rFonts w:ascii="Times New Roman" w:hAnsi="Times New Roman"/>
          <w:color w:val="000000" w:themeColor="text1"/>
          <w:sz w:val="24"/>
          <w:szCs w:val="24"/>
        </w:rPr>
        <w:t xml:space="preserve"> (2015-2019) trend</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By contrast, </w:t>
      </w:r>
      <w:r w:rsidRPr="00DF0F15">
        <w:rPr>
          <w:rFonts w:ascii="Times New Roman" w:hAnsi="Times New Roman"/>
          <w:color w:val="000000" w:themeColor="text1"/>
          <w:sz w:val="24"/>
          <w:szCs w:val="24"/>
        </w:rPr>
        <w:t xml:space="preserve">PCE services </w:t>
      </w:r>
      <w:r>
        <w:rPr>
          <w:rFonts w:ascii="Times New Roman" w:hAnsi="Times New Roman"/>
          <w:color w:val="000000" w:themeColor="text1"/>
          <w:sz w:val="24"/>
          <w:szCs w:val="24"/>
        </w:rPr>
        <w:t>was still 4 percent below trend</w:t>
      </w:r>
      <w:r w:rsidRPr="00DF0F15">
        <w:rPr>
          <w:rFonts w:ascii="Times New Roman" w:hAnsi="Times New Roman"/>
          <w:color w:val="000000" w:themeColor="text1"/>
          <w:sz w:val="24"/>
          <w:szCs w:val="24"/>
        </w:rPr>
        <w:t xml:space="preserve">.  </w:t>
      </w:r>
    </w:p>
    <w:p w14:paraId="37F33F6B" w14:textId="77777777" w:rsidR="004943F8" w:rsidRPr="00020A8E" w:rsidRDefault="004943F8" w:rsidP="004943F8">
      <w:pPr>
        <w:spacing w:after="0" w:line="240" w:lineRule="auto"/>
        <w:rPr>
          <w:rFonts w:ascii="Times New Roman" w:hAnsi="Times New Roman"/>
          <w:color w:val="000000" w:themeColor="text1"/>
          <w:sz w:val="24"/>
          <w:szCs w:val="24"/>
          <w:highlight w:val="yellow"/>
        </w:rPr>
      </w:pPr>
    </w:p>
    <w:p w14:paraId="09D4B694" w14:textId="77777777" w:rsidR="004943F8" w:rsidRPr="00DF0F15" w:rsidRDefault="004943F8" w:rsidP="004943F8">
      <w:pPr>
        <w:spacing w:line="240" w:lineRule="auto"/>
        <w:rPr>
          <w:rFonts w:ascii="Times New Roman" w:hAnsi="Times New Roman"/>
          <w:color w:val="000000" w:themeColor="text1"/>
          <w:sz w:val="24"/>
          <w:szCs w:val="24"/>
        </w:rPr>
      </w:pPr>
      <w:r w:rsidRPr="006C42A2">
        <w:rPr>
          <w:rFonts w:ascii="Times New Roman" w:hAnsi="Times New Roman"/>
          <w:color w:val="000000" w:themeColor="text1"/>
          <w:sz w:val="24"/>
          <w:szCs w:val="24"/>
        </w:rPr>
        <w:t xml:space="preserve">Business fixed investment (BFI) </w:t>
      </w:r>
      <w:r>
        <w:rPr>
          <w:rFonts w:ascii="Times New Roman" w:hAnsi="Times New Roman"/>
          <w:color w:val="000000" w:themeColor="text1"/>
          <w:sz w:val="24"/>
          <w:szCs w:val="24"/>
        </w:rPr>
        <w:t xml:space="preserve">jumped up </w:t>
      </w:r>
      <w:r w:rsidRPr="00DF0F15">
        <w:rPr>
          <w:rFonts w:ascii="Times New Roman" w:hAnsi="Times New Roman"/>
          <w:color w:val="000000" w:themeColor="text1"/>
          <w:sz w:val="24"/>
          <w:szCs w:val="24"/>
        </w:rPr>
        <w:t>by 9.2 percent at an annual rate in the first quarter, following a 2.9 percent gain in the fourth quarter.  Investment in structures remained a drag on growth</w:t>
      </w:r>
      <w:r>
        <w:rPr>
          <w:rFonts w:ascii="Times New Roman" w:hAnsi="Times New Roman"/>
          <w:color w:val="000000" w:themeColor="text1"/>
          <w:sz w:val="24"/>
          <w:szCs w:val="24"/>
        </w:rPr>
        <w:t>—albeit</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a negligible</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drag—as it slipped </w:t>
      </w:r>
      <w:r w:rsidRPr="00DF0F15">
        <w:rPr>
          <w:rFonts w:ascii="Times New Roman" w:hAnsi="Times New Roman"/>
          <w:color w:val="000000" w:themeColor="text1"/>
          <w:sz w:val="24"/>
          <w:szCs w:val="24"/>
        </w:rPr>
        <w:t>0.9 percent in the first quarter after dropping by 8.3 percent in the fourth quarter.  Investment in mining-related structures, including oil and gas wells, continue</w:t>
      </w:r>
      <w:r>
        <w:rPr>
          <w:rFonts w:ascii="Times New Roman" w:hAnsi="Times New Roman"/>
          <w:color w:val="000000" w:themeColor="text1"/>
          <w:sz w:val="24"/>
          <w:szCs w:val="24"/>
        </w:rPr>
        <w:t>d</w:t>
      </w:r>
      <w:r w:rsidRPr="00DF0F15">
        <w:rPr>
          <w:rFonts w:ascii="Times New Roman" w:hAnsi="Times New Roman"/>
          <w:color w:val="000000" w:themeColor="text1"/>
          <w:sz w:val="24"/>
          <w:szCs w:val="24"/>
        </w:rPr>
        <w:t xml:space="preserve"> to </w:t>
      </w:r>
      <w:r>
        <w:rPr>
          <w:rFonts w:ascii="Times New Roman" w:hAnsi="Times New Roman"/>
          <w:color w:val="000000" w:themeColor="text1"/>
          <w:sz w:val="24"/>
          <w:szCs w:val="24"/>
        </w:rPr>
        <w:t>increase</w:t>
      </w:r>
      <w:r w:rsidRPr="00DF0F15">
        <w:rPr>
          <w:rFonts w:ascii="Times New Roman" w:hAnsi="Times New Roman"/>
          <w:color w:val="000000" w:themeColor="text1"/>
          <w:sz w:val="24"/>
          <w:szCs w:val="24"/>
        </w:rPr>
        <w:t xml:space="preserve"> </w:t>
      </w:r>
      <w:r>
        <w:rPr>
          <w:rFonts w:ascii="Times New Roman" w:hAnsi="Times New Roman"/>
          <w:color w:val="000000" w:themeColor="text1"/>
          <w:sz w:val="24"/>
          <w:szCs w:val="24"/>
        </w:rPr>
        <w:t>due to</w:t>
      </w:r>
      <w:r w:rsidRPr="00DF0F15">
        <w:rPr>
          <w:rFonts w:ascii="Times New Roman" w:hAnsi="Times New Roman"/>
          <w:color w:val="000000" w:themeColor="text1"/>
          <w:sz w:val="24"/>
          <w:szCs w:val="24"/>
        </w:rPr>
        <w:t xml:space="preserve"> rising energy prices.  </w:t>
      </w:r>
      <w:r>
        <w:rPr>
          <w:rFonts w:ascii="Times New Roman" w:hAnsi="Times New Roman"/>
          <w:color w:val="000000" w:themeColor="text1"/>
          <w:sz w:val="24"/>
          <w:szCs w:val="24"/>
        </w:rPr>
        <w:t>Meanwhile, surging investment in business equipment and intellectual property products outweighed the slight decline in structures.  E</w:t>
      </w:r>
      <w:r w:rsidRPr="00DF0F15">
        <w:rPr>
          <w:rFonts w:ascii="Times New Roman" w:hAnsi="Times New Roman"/>
          <w:color w:val="000000" w:themeColor="text1"/>
          <w:sz w:val="24"/>
          <w:szCs w:val="24"/>
        </w:rPr>
        <w:t xml:space="preserve">quipment investment </w:t>
      </w:r>
      <w:r>
        <w:rPr>
          <w:rFonts w:ascii="Times New Roman" w:hAnsi="Times New Roman"/>
          <w:color w:val="000000" w:themeColor="text1"/>
          <w:sz w:val="24"/>
          <w:szCs w:val="24"/>
        </w:rPr>
        <w:t xml:space="preserve">rose </w:t>
      </w:r>
      <w:r w:rsidRPr="00DF0F15">
        <w:rPr>
          <w:rFonts w:ascii="Times New Roman" w:hAnsi="Times New Roman"/>
          <w:color w:val="000000" w:themeColor="text1"/>
          <w:sz w:val="24"/>
          <w:szCs w:val="24"/>
        </w:rPr>
        <w:t>15.3 percent at an annual rate in the first quarter</w:t>
      </w:r>
      <w:r>
        <w:rPr>
          <w:rFonts w:ascii="Times New Roman" w:hAnsi="Times New Roman"/>
          <w:color w:val="000000" w:themeColor="text1"/>
          <w:sz w:val="24"/>
          <w:szCs w:val="24"/>
        </w:rPr>
        <w:t>, and</w:t>
      </w:r>
      <w:r w:rsidRPr="00DF0F15">
        <w:rPr>
          <w:rFonts w:ascii="Times New Roman" w:hAnsi="Times New Roman"/>
          <w:color w:val="000000" w:themeColor="text1"/>
          <w:sz w:val="24"/>
          <w:szCs w:val="24"/>
        </w:rPr>
        <w:t xml:space="preserve"> investment in intellectual property products </w:t>
      </w:r>
      <w:r>
        <w:rPr>
          <w:rFonts w:ascii="Times New Roman" w:hAnsi="Times New Roman"/>
          <w:color w:val="000000" w:themeColor="text1"/>
          <w:sz w:val="24"/>
          <w:szCs w:val="24"/>
        </w:rPr>
        <w:t>increased</w:t>
      </w:r>
      <w:r w:rsidRPr="00DF0F15">
        <w:rPr>
          <w:rFonts w:ascii="Times New Roman" w:hAnsi="Times New Roman"/>
          <w:color w:val="000000" w:themeColor="text1"/>
          <w:sz w:val="24"/>
          <w:szCs w:val="24"/>
        </w:rPr>
        <w:t xml:space="preserve"> 8.1 percent at an annual rate in the first quarter.  </w:t>
      </w:r>
    </w:p>
    <w:p w14:paraId="406D02EA" w14:textId="77777777" w:rsidR="004943F8" w:rsidRPr="005D1042" w:rsidRDefault="004943F8" w:rsidP="004943F8">
      <w:pPr>
        <w:spacing w:after="0" w:line="240" w:lineRule="auto"/>
        <w:rPr>
          <w:rFonts w:ascii="Times New Roman" w:hAnsi="Times New Roman"/>
          <w:sz w:val="24"/>
          <w:szCs w:val="24"/>
        </w:rPr>
      </w:pPr>
      <w:r w:rsidRPr="006C42A2">
        <w:rPr>
          <w:rFonts w:ascii="Times New Roman" w:hAnsi="Times New Roman"/>
          <w:color w:val="000000"/>
          <w:sz w:val="24"/>
          <w:szCs w:val="24"/>
        </w:rPr>
        <w:t>Real residential investment—the third and final component of PDFP—</w:t>
      </w:r>
      <w:r>
        <w:rPr>
          <w:rFonts w:ascii="Times New Roman" w:hAnsi="Times New Roman"/>
          <w:color w:val="000000"/>
          <w:sz w:val="24"/>
          <w:szCs w:val="24"/>
        </w:rPr>
        <w:t xml:space="preserve">rose by 2.1 percent at an annual rate in the first quarter, following a 2.2 percent increase in the previous quarter.  As of the early 2022, residential investment was nearly 7 percent above its </w:t>
      </w:r>
      <w:r w:rsidRPr="00870E5C">
        <w:rPr>
          <w:rFonts w:ascii="Times New Roman" w:hAnsi="Times New Roman"/>
          <w:color w:val="000000"/>
          <w:sz w:val="24"/>
          <w:szCs w:val="24"/>
        </w:rPr>
        <w:t xml:space="preserve">pre-pandemic trend—even as </w:t>
      </w:r>
      <w:r w:rsidRPr="005D1042">
        <w:rPr>
          <w:rFonts w:ascii="Times New Roman" w:hAnsi="Times New Roman"/>
          <w:color w:val="000000"/>
          <w:sz w:val="24"/>
          <w:szCs w:val="24"/>
        </w:rPr>
        <w:t xml:space="preserve">construction prices have risen sharply since mid-2020. Higher construction costs have been driven in part by disruptions in supply chains for materials as well as shortages of </w:t>
      </w:r>
      <w:r w:rsidRPr="005D1042">
        <w:rPr>
          <w:rFonts w:ascii="Times New Roman" w:hAnsi="Times New Roman"/>
          <w:sz w:val="24"/>
          <w:szCs w:val="24"/>
        </w:rPr>
        <w:t>labor.</w:t>
      </w:r>
    </w:p>
    <w:p w14:paraId="311598DC" w14:textId="77777777" w:rsidR="004943F8" w:rsidRPr="005D1042" w:rsidRDefault="004943F8" w:rsidP="004943F8">
      <w:pPr>
        <w:spacing w:after="0" w:line="240" w:lineRule="auto"/>
        <w:rPr>
          <w:rFonts w:ascii="Times New Roman" w:hAnsi="Times New Roman"/>
          <w:sz w:val="24"/>
          <w:szCs w:val="24"/>
        </w:rPr>
      </w:pPr>
    </w:p>
    <w:p w14:paraId="2495FF33" w14:textId="77777777" w:rsidR="004943F8" w:rsidRDefault="004943F8" w:rsidP="004943F8">
      <w:pPr>
        <w:spacing w:after="0" w:line="240" w:lineRule="auto"/>
        <w:rPr>
          <w:rFonts w:ascii="Times New Roman" w:hAnsi="Times New Roman"/>
          <w:sz w:val="24"/>
          <w:szCs w:val="24"/>
        </w:rPr>
      </w:pPr>
      <w:r w:rsidRPr="004818F8">
        <w:rPr>
          <w:rFonts w:ascii="Times New Roman" w:hAnsi="Times New Roman"/>
          <w:color w:val="000000" w:themeColor="text1"/>
          <w:sz w:val="24"/>
          <w:szCs w:val="24"/>
        </w:rPr>
        <w:t>The change in private inventories (CIPI)</w:t>
      </w:r>
      <w:r>
        <w:rPr>
          <w:rFonts w:ascii="Times New Roman" w:hAnsi="Times New Roman"/>
          <w:color w:val="000000" w:themeColor="text1"/>
          <w:sz w:val="24"/>
          <w:szCs w:val="24"/>
        </w:rPr>
        <w:t xml:space="preserve">, a volatile component, </w:t>
      </w:r>
      <w:r w:rsidRPr="004818F8">
        <w:rPr>
          <w:rFonts w:ascii="Times New Roman" w:hAnsi="Times New Roman"/>
          <w:color w:val="000000" w:themeColor="text1"/>
          <w:sz w:val="24"/>
          <w:szCs w:val="24"/>
        </w:rPr>
        <w:t>posed the second-largest drag on real GDP growth in the first quarter, subtracting 0.8 percent</w:t>
      </w:r>
      <w:r>
        <w:rPr>
          <w:rFonts w:ascii="Times New Roman" w:hAnsi="Times New Roman"/>
          <w:color w:val="000000" w:themeColor="text1"/>
          <w:sz w:val="24"/>
          <w:szCs w:val="24"/>
        </w:rPr>
        <w:t>age</w:t>
      </w:r>
      <w:r w:rsidRPr="004818F8">
        <w:rPr>
          <w:rFonts w:ascii="Times New Roman" w:hAnsi="Times New Roman"/>
          <w:color w:val="000000" w:themeColor="text1"/>
          <w:sz w:val="24"/>
          <w:szCs w:val="24"/>
        </w:rPr>
        <w:t xml:space="preserve"> points, a sharp contrast with the 5.3 percentage-point addition made in the fourth quarter. </w:t>
      </w:r>
      <w:r>
        <w:rPr>
          <w:rFonts w:ascii="Times New Roman" w:hAnsi="Times New Roman"/>
          <w:color w:val="000000" w:themeColor="text1"/>
          <w:sz w:val="24"/>
          <w:szCs w:val="24"/>
        </w:rPr>
        <w:t xml:space="preserve"> Although businesses continued to build inventories in the first quarter at a healthy clip, it was at a slower pace than in the fourth quarter.  Inventories tend to be a volatile component of GDP; in the first quarter, the slowdown was led by </w:t>
      </w:r>
      <w:r>
        <w:rPr>
          <w:rFonts w:ascii="Times New Roman" w:hAnsi="Times New Roman"/>
          <w:color w:val="000000" w:themeColor="text1"/>
          <w:sz w:val="24"/>
          <w:szCs w:val="24"/>
        </w:rPr>
        <w:lastRenderedPageBreak/>
        <w:t>decreases in inventories of wholesale durables trade and other retail stores, which was partly offset by stronger buildup in manufacturers’ inventories.</w:t>
      </w:r>
    </w:p>
    <w:p w14:paraId="296C01C0" w14:textId="77777777" w:rsidR="004943F8" w:rsidRPr="00020A8E" w:rsidRDefault="004943F8" w:rsidP="004943F8">
      <w:pPr>
        <w:spacing w:after="0" w:line="240" w:lineRule="auto"/>
        <w:rPr>
          <w:rFonts w:ascii="Times New Roman" w:hAnsi="Times New Roman"/>
          <w:sz w:val="24"/>
          <w:szCs w:val="24"/>
          <w:highlight w:val="yellow"/>
        </w:rPr>
      </w:pPr>
      <w:r w:rsidRPr="00020A8E">
        <w:rPr>
          <w:rFonts w:ascii="Times New Roman" w:hAnsi="Times New Roman"/>
          <w:sz w:val="24"/>
          <w:szCs w:val="24"/>
          <w:highlight w:val="yellow"/>
        </w:rPr>
        <w:t xml:space="preserve"> </w:t>
      </w:r>
    </w:p>
    <w:p w14:paraId="2F8BDB66" w14:textId="77777777" w:rsidR="004943F8" w:rsidRPr="00ED75F8" w:rsidRDefault="004943F8" w:rsidP="004943F8">
      <w:pPr>
        <w:spacing w:after="0" w:line="240" w:lineRule="auto"/>
        <w:rPr>
          <w:rFonts w:ascii="Times New Roman" w:hAnsi="Times New Roman"/>
          <w:sz w:val="24"/>
          <w:szCs w:val="24"/>
        </w:rPr>
      </w:pPr>
      <w:r w:rsidRPr="00ED75F8">
        <w:rPr>
          <w:rFonts w:ascii="Times New Roman" w:hAnsi="Times New Roman"/>
          <w:sz w:val="24"/>
          <w:szCs w:val="24"/>
        </w:rPr>
        <w:t xml:space="preserve">The </w:t>
      </w:r>
      <w:r w:rsidRPr="00ED75F8">
        <w:rPr>
          <w:rFonts w:ascii="Times New Roman" w:hAnsi="Times New Roman"/>
          <w:iCs/>
          <w:sz w:val="24"/>
          <w:szCs w:val="24"/>
        </w:rPr>
        <w:t>trade deficit</w:t>
      </w:r>
      <w:r w:rsidRPr="00ED75F8">
        <w:rPr>
          <w:rFonts w:ascii="Times New Roman" w:hAnsi="Times New Roman"/>
          <w:sz w:val="24"/>
          <w:szCs w:val="24"/>
        </w:rPr>
        <w:t xml:space="preserve"> widened by $191.6 billion to $1,541.7 billion in the first quarter, </w:t>
      </w:r>
      <w:r>
        <w:rPr>
          <w:rFonts w:ascii="Times New Roman" w:hAnsi="Times New Roman"/>
          <w:sz w:val="24"/>
          <w:szCs w:val="24"/>
        </w:rPr>
        <w:t>which</w:t>
      </w:r>
      <w:r w:rsidRPr="00ED75F8">
        <w:rPr>
          <w:rFonts w:ascii="Times New Roman" w:hAnsi="Times New Roman"/>
          <w:sz w:val="24"/>
          <w:szCs w:val="24"/>
        </w:rPr>
        <w:t xml:space="preserve"> </w:t>
      </w:r>
      <w:r>
        <w:rPr>
          <w:rFonts w:ascii="Times New Roman" w:hAnsi="Times New Roman"/>
          <w:sz w:val="24"/>
          <w:szCs w:val="24"/>
        </w:rPr>
        <w:t>im</w:t>
      </w:r>
      <w:r w:rsidRPr="00ED75F8">
        <w:rPr>
          <w:rFonts w:ascii="Times New Roman" w:hAnsi="Times New Roman"/>
          <w:sz w:val="24"/>
          <w:szCs w:val="24"/>
        </w:rPr>
        <w:t>posed the largest drag (3.2 percentage points) of any component on GDP growth.  Total exports of goods and services dropped by 5.9 percent at an annual rate, while total imports of goods and services jumped 17.7 percent.</w:t>
      </w:r>
      <w:r>
        <w:rPr>
          <w:rFonts w:ascii="Times New Roman" w:hAnsi="Times New Roman"/>
          <w:sz w:val="24"/>
          <w:szCs w:val="24"/>
        </w:rPr>
        <w:t xml:space="preserve"> Nominal exports rose in the quarter, but real exports fell on a sharp increase in the export price index.</w:t>
      </w:r>
    </w:p>
    <w:p w14:paraId="236C97D2" w14:textId="77777777" w:rsidR="004943F8" w:rsidRPr="00020A8E" w:rsidRDefault="004943F8" w:rsidP="004943F8">
      <w:pPr>
        <w:spacing w:after="0" w:line="240" w:lineRule="auto"/>
        <w:rPr>
          <w:rFonts w:ascii="Times New Roman" w:hAnsi="Times New Roman"/>
          <w:iCs/>
          <w:sz w:val="24"/>
          <w:szCs w:val="24"/>
          <w:highlight w:val="yellow"/>
        </w:rPr>
      </w:pPr>
    </w:p>
    <w:p w14:paraId="18091CDF" w14:textId="77777777" w:rsidR="004943F8" w:rsidRPr="00322CF6" w:rsidRDefault="004943F8" w:rsidP="004943F8">
      <w:pPr>
        <w:spacing w:after="0" w:line="240" w:lineRule="auto"/>
        <w:rPr>
          <w:rFonts w:ascii="Times New Roman" w:hAnsi="Times New Roman"/>
          <w:sz w:val="24"/>
          <w:szCs w:val="24"/>
        </w:rPr>
      </w:pPr>
      <w:r w:rsidRPr="0056691B">
        <w:rPr>
          <w:rFonts w:ascii="Times New Roman" w:hAnsi="Times New Roman"/>
          <w:iCs/>
          <w:sz w:val="24"/>
          <w:szCs w:val="24"/>
        </w:rPr>
        <w:t>Total government spending</w:t>
      </w:r>
      <w:r w:rsidRPr="0056691B">
        <w:rPr>
          <w:rFonts w:ascii="Times New Roman" w:hAnsi="Times New Roman"/>
          <w:sz w:val="24"/>
          <w:szCs w:val="24"/>
        </w:rPr>
        <w:t xml:space="preserve"> declined 2.7 percent at an annual rate in the first quarter, nearly matching the decline in the previous quarter.  Federal government consumption and investment accounted for about 80% of the decrease, largely concentrated in national defense purchases</w:t>
      </w:r>
      <w:r>
        <w:rPr>
          <w:rFonts w:ascii="Times New Roman" w:hAnsi="Times New Roman"/>
          <w:sz w:val="24"/>
          <w:szCs w:val="24"/>
        </w:rPr>
        <w:t>—defense</w:t>
      </w:r>
      <w:r w:rsidRPr="0056691B">
        <w:rPr>
          <w:rFonts w:ascii="Times New Roman" w:hAnsi="Times New Roman"/>
          <w:sz w:val="24"/>
          <w:szCs w:val="24"/>
        </w:rPr>
        <w:t xml:space="preserve"> spending </w:t>
      </w:r>
      <w:r>
        <w:rPr>
          <w:rFonts w:ascii="Times New Roman" w:hAnsi="Times New Roman"/>
          <w:sz w:val="24"/>
          <w:szCs w:val="24"/>
        </w:rPr>
        <w:t xml:space="preserve">contracted by 5.9 percent, </w:t>
      </w:r>
      <w:r w:rsidRPr="0056691B">
        <w:rPr>
          <w:rFonts w:ascii="Times New Roman" w:hAnsi="Times New Roman"/>
          <w:sz w:val="24"/>
          <w:szCs w:val="24"/>
        </w:rPr>
        <w:t>the fourth consecutive quarter</w:t>
      </w:r>
      <w:r>
        <w:rPr>
          <w:rFonts w:ascii="Times New Roman" w:hAnsi="Times New Roman"/>
          <w:sz w:val="24"/>
          <w:szCs w:val="24"/>
        </w:rPr>
        <w:t>ly loss</w:t>
      </w:r>
      <w:r w:rsidRPr="0056691B">
        <w:rPr>
          <w:rFonts w:ascii="Times New Roman" w:hAnsi="Times New Roman"/>
          <w:sz w:val="24"/>
          <w:szCs w:val="24"/>
        </w:rPr>
        <w:t>.  State and local government consumption declined 0.8 percent in the first quarter, half the decline in the fourth quarter.</w:t>
      </w:r>
      <w:r>
        <w:rPr>
          <w:rFonts w:ascii="Times New Roman" w:hAnsi="Times New Roman"/>
          <w:sz w:val="24"/>
          <w:szCs w:val="24"/>
        </w:rPr>
        <w:t xml:space="preserve"> Like exports, these real declines reflected large increases in price index for government consumption and investment.</w:t>
      </w:r>
    </w:p>
    <w:p w14:paraId="65D3FC65" w14:textId="45D4B066" w:rsidR="00055EB9" w:rsidRDefault="00055EB9" w:rsidP="00322CF6">
      <w:pPr>
        <w:spacing w:after="0" w:line="240" w:lineRule="auto"/>
        <w:rPr>
          <w:rFonts w:ascii="Times New Roman" w:hAnsi="Times New Roman"/>
          <w:sz w:val="24"/>
          <w:szCs w:val="24"/>
        </w:rPr>
      </w:pPr>
    </w:p>
    <w:p w14:paraId="25CBD2BF" w14:textId="77777777" w:rsidR="00055EB9" w:rsidRPr="00055EB9" w:rsidRDefault="00055EB9" w:rsidP="00055EB9">
      <w:pPr>
        <w:spacing w:after="0" w:line="259" w:lineRule="auto"/>
        <w:jc w:val="center"/>
        <w:rPr>
          <w:rFonts w:asciiTheme="minorHAnsi" w:hAnsiTheme="minorHAnsi" w:cstheme="minorBidi"/>
          <w:b/>
          <w:color w:val="000000"/>
          <w:sz w:val="24"/>
        </w:rPr>
      </w:pPr>
      <w:r w:rsidRPr="00055EB9">
        <w:rPr>
          <w:rFonts w:asciiTheme="minorHAnsi" w:hAnsiTheme="minorHAnsi" w:cstheme="minorBidi"/>
          <w:b/>
          <w:color w:val="000000"/>
          <w:sz w:val="24"/>
        </w:rPr>
        <w:t xml:space="preserve">Growth of Real GDP </w:t>
      </w:r>
    </w:p>
    <w:p w14:paraId="0B802448" w14:textId="6B6D82AA" w:rsidR="00055EB9" w:rsidRPr="00055EB9" w:rsidRDefault="00055EB9" w:rsidP="00055EB9">
      <w:pPr>
        <w:spacing w:after="160" w:line="259" w:lineRule="auto"/>
        <w:jc w:val="center"/>
        <w:rPr>
          <w:rFonts w:asciiTheme="minorHAnsi" w:eastAsiaTheme="minorHAnsi" w:hAnsiTheme="minorHAnsi" w:cstheme="minorBidi"/>
          <w:noProof/>
        </w:rPr>
      </w:pPr>
      <w:r w:rsidRPr="00055EB9">
        <w:rPr>
          <w:rFonts w:asciiTheme="minorHAnsi" w:hAnsiTheme="minorHAnsi" w:cstheme="minorBidi"/>
          <w:color w:val="000000"/>
          <w:szCs w:val="20"/>
        </w:rPr>
        <w:t>(Quarterly percent change at annual rate)</w:t>
      </w:r>
    </w:p>
    <w:p w14:paraId="173B9809" w14:textId="77777777" w:rsidR="00055EB9" w:rsidRPr="00322CF6" w:rsidRDefault="00055EB9" w:rsidP="00322CF6">
      <w:pPr>
        <w:spacing w:after="0" w:line="240" w:lineRule="auto"/>
        <w:rPr>
          <w:rFonts w:ascii="Times New Roman" w:hAnsi="Times New Roman"/>
          <w:sz w:val="24"/>
          <w:szCs w:val="24"/>
        </w:rPr>
      </w:pPr>
    </w:p>
    <w:p w14:paraId="4455B795" w14:textId="3C80DED0" w:rsidR="000C6D54" w:rsidRDefault="00055EB9" w:rsidP="00055EB9">
      <w:pPr>
        <w:pStyle w:val="NoSpacing"/>
        <w:jc w:val="center"/>
        <w:rPr>
          <w:rFonts w:ascii="Times New Roman" w:hAnsi="Times New Roman"/>
          <w:color w:val="000000"/>
          <w:sz w:val="24"/>
          <w:szCs w:val="24"/>
        </w:rPr>
      </w:pPr>
      <w:r>
        <w:rPr>
          <w:noProof/>
        </w:rPr>
        <w:drawing>
          <wp:inline distT="0" distB="0" distL="0" distR="0" wp14:anchorId="36F0ACAD" wp14:editId="2600AEDA">
            <wp:extent cx="4514850" cy="322897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4514850" cy="3228975"/>
                    </a:xfrm>
                    <a:prstGeom prst="rect">
                      <a:avLst/>
                    </a:prstGeom>
                  </pic:spPr>
                </pic:pic>
              </a:graphicData>
            </a:graphic>
          </wp:inline>
        </w:drawing>
      </w:r>
    </w:p>
    <w:p w14:paraId="29590D35" w14:textId="77777777" w:rsidR="00055EB9" w:rsidRDefault="00055EB9" w:rsidP="000C6D54">
      <w:pPr>
        <w:rPr>
          <w:rFonts w:ascii="Times New Roman" w:hAnsi="Times New Roman"/>
          <w:b/>
          <w:bCs/>
          <w:sz w:val="24"/>
          <w:szCs w:val="24"/>
        </w:rPr>
      </w:pPr>
    </w:p>
    <w:p w14:paraId="2770B675" w14:textId="64444006" w:rsidR="000C6D54" w:rsidRDefault="000C6D54" w:rsidP="000C6D54">
      <w:pPr>
        <w:rPr>
          <w:rFonts w:ascii="Times New Roman" w:hAnsi="Times New Roman"/>
          <w:b/>
          <w:bCs/>
          <w:sz w:val="24"/>
          <w:szCs w:val="24"/>
        </w:rPr>
      </w:pPr>
      <w:r>
        <w:rPr>
          <w:rFonts w:ascii="Times New Roman" w:hAnsi="Times New Roman"/>
          <w:b/>
          <w:bCs/>
          <w:sz w:val="24"/>
          <w:szCs w:val="24"/>
        </w:rPr>
        <w:t>Labor Markets and Wages</w:t>
      </w:r>
    </w:p>
    <w:p w14:paraId="12B9428C" w14:textId="77777777" w:rsidR="004943F8" w:rsidRDefault="004943F8" w:rsidP="004943F8">
      <w:pPr>
        <w:pStyle w:val="NoSpacing"/>
        <w:rPr>
          <w:rFonts w:ascii="Times New Roman" w:eastAsia="Cambria" w:hAnsi="Times New Roman"/>
          <w:sz w:val="24"/>
          <w:szCs w:val="24"/>
        </w:rPr>
      </w:pPr>
      <w:bookmarkStart w:id="0" w:name="_Hlk72766267"/>
      <w:r>
        <w:rPr>
          <w:rFonts w:ascii="Times New Roman" w:hAnsi="Times New Roman"/>
          <w:color w:val="000000" w:themeColor="text1"/>
          <w:sz w:val="24"/>
          <w:szCs w:val="24"/>
        </w:rPr>
        <w:t>In 2021, U.S. labor markets realized robust employment gains and the largest calendar-year drop in the unemployment rate on record; labor market improvement continued during the first quarter of 2022.  After generating a record 6.74 million payroll jobs in 2021</w:t>
      </w:r>
      <w:r w:rsidRPr="00C74867">
        <w:rPr>
          <w:rFonts w:ascii="Times New Roman" w:hAnsi="Times New Roman"/>
          <w:color w:val="000000" w:themeColor="text1"/>
          <w:sz w:val="24"/>
          <w:szCs w:val="24"/>
        </w:rPr>
        <w:t xml:space="preserve">, the economy added another </w:t>
      </w:r>
      <w:r w:rsidRPr="00C74867">
        <w:rPr>
          <w:rFonts w:ascii="Times New Roman" w:hAnsi="Times New Roman"/>
          <w:color w:val="000000" w:themeColor="text1"/>
          <w:sz w:val="24"/>
          <w:szCs w:val="24"/>
        </w:rPr>
        <w:lastRenderedPageBreak/>
        <w:t>2.1 million during the first four months of 2022</w:t>
      </w:r>
      <w:r w:rsidRPr="00827473">
        <w:rPr>
          <w:rFonts w:ascii="Times New Roman" w:hAnsi="Times New Roman"/>
          <w:color w:val="000000" w:themeColor="text1"/>
          <w:sz w:val="24"/>
          <w:szCs w:val="24"/>
        </w:rPr>
        <w:t>.  As of April, a total of 20.8 million jobs have been recovered during the current recovery, or 95 percent of those lost during the two-month recession in early 2020.  Meanwhile, the headline unemployment rate dropped by a record 2.8 percentage points over 2021</w:t>
      </w:r>
      <w:r>
        <w:rPr>
          <w:rFonts w:ascii="Times New Roman" w:hAnsi="Times New Roman"/>
          <w:sz w:val="24"/>
          <w:szCs w:val="24"/>
        </w:rPr>
        <w:t>—</w:t>
      </w:r>
      <w:r w:rsidRPr="00827473">
        <w:rPr>
          <w:rFonts w:ascii="Times New Roman" w:hAnsi="Times New Roman"/>
          <w:color w:val="000000" w:themeColor="text1"/>
          <w:sz w:val="24"/>
          <w:szCs w:val="24"/>
        </w:rPr>
        <w:t>the largest drop on record in a</w:t>
      </w:r>
      <w:r w:rsidRPr="00C74867">
        <w:rPr>
          <w:rFonts w:ascii="Times New Roman" w:hAnsi="Times New Roman"/>
          <w:color w:val="000000" w:themeColor="text1"/>
          <w:sz w:val="24"/>
          <w:szCs w:val="24"/>
        </w:rPr>
        <w:t xml:space="preserve"> single calendar year</w:t>
      </w:r>
      <w:r>
        <w:rPr>
          <w:rFonts w:ascii="Times New Roman" w:hAnsi="Times New Roman"/>
          <w:sz w:val="24"/>
          <w:szCs w:val="24"/>
        </w:rPr>
        <w:t>—</w:t>
      </w:r>
      <w:r w:rsidRPr="00C74867">
        <w:rPr>
          <w:rFonts w:ascii="Times New Roman" w:hAnsi="Times New Roman"/>
          <w:color w:val="000000" w:themeColor="text1"/>
          <w:sz w:val="24"/>
          <w:szCs w:val="24"/>
        </w:rPr>
        <w:t>to 3.9 percent</w:t>
      </w:r>
      <w:r>
        <w:rPr>
          <w:rFonts w:ascii="Times New Roman" w:hAnsi="Times New Roman"/>
          <w:color w:val="000000" w:themeColor="text1"/>
          <w:sz w:val="24"/>
          <w:szCs w:val="24"/>
        </w:rPr>
        <w:t xml:space="preserve"> of the labor force</w:t>
      </w:r>
      <w:r w:rsidRPr="00C74867">
        <w:rPr>
          <w:rFonts w:ascii="Times New Roman" w:hAnsi="Times New Roman"/>
          <w:color w:val="000000" w:themeColor="text1"/>
          <w:sz w:val="24"/>
          <w:szCs w:val="24"/>
        </w:rPr>
        <w:t xml:space="preserve">.  By April, it stood at 3.6 percent, just </w:t>
      </w:r>
      <w:r>
        <w:rPr>
          <w:rFonts w:ascii="Times New Roman" w:hAnsi="Times New Roman"/>
          <w:color w:val="000000" w:themeColor="text1"/>
          <w:sz w:val="24"/>
          <w:szCs w:val="24"/>
        </w:rPr>
        <w:t xml:space="preserve">0.1 percentage points </w:t>
      </w:r>
      <w:r w:rsidRPr="00C74867">
        <w:rPr>
          <w:rFonts w:ascii="Times New Roman" w:hAnsi="Times New Roman"/>
          <w:color w:val="000000" w:themeColor="text1"/>
          <w:sz w:val="24"/>
          <w:szCs w:val="24"/>
        </w:rPr>
        <w:t xml:space="preserve">above the half-century low registered before the pandemic.  The broadest measure of unemployment—the U-6 rate, </w:t>
      </w:r>
      <w:r w:rsidRPr="00827473">
        <w:rPr>
          <w:rFonts w:ascii="Times New Roman" w:hAnsi="Times New Roman"/>
          <w:color w:val="000000" w:themeColor="text1"/>
          <w:sz w:val="24"/>
          <w:szCs w:val="24"/>
        </w:rPr>
        <w:t xml:space="preserve">a measure of labor underutilization that includes underemployment and discouraged workers in addition to the unemployed—also dropped by a record amount (-4.4 percentage points) last year.  </w:t>
      </w:r>
      <w:r>
        <w:rPr>
          <w:rFonts w:ascii="Times New Roman" w:hAnsi="Times New Roman"/>
          <w:color w:val="000000" w:themeColor="text1"/>
          <w:sz w:val="24"/>
          <w:szCs w:val="24"/>
        </w:rPr>
        <w:t>Thus far in 2022</w:t>
      </w:r>
      <w:r w:rsidRPr="00827473">
        <w:rPr>
          <w:rFonts w:ascii="Times New Roman" w:hAnsi="Times New Roman"/>
          <w:color w:val="000000" w:themeColor="text1"/>
          <w:sz w:val="24"/>
          <w:szCs w:val="24"/>
        </w:rPr>
        <w:t>, the U-6 has trended lower and</w:t>
      </w:r>
      <w:r>
        <w:rPr>
          <w:rFonts w:ascii="Times New Roman" w:hAnsi="Times New Roman"/>
          <w:color w:val="000000" w:themeColor="text1"/>
          <w:sz w:val="24"/>
          <w:szCs w:val="24"/>
        </w:rPr>
        <w:t>,</w:t>
      </w:r>
      <w:r w:rsidRPr="00827473">
        <w:rPr>
          <w:rFonts w:ascii="Times New Roman" w:hAnsi="Times New Roman"/>
          <w:color w:val="000000" w:themeColor="text1"/>
          <w:sz w:val="24"/>
          <w:szCs w:val="24"/>
        </w:rPr>
        <w:t xml:space="preserve"> as of April, stood at 7.0 percent, just two-tenths</w:t>
      </w:r>
      <w:r>
        <w:rPr>
          <w:rFonts w:ascii="Times New Roman" w:hAnsi="Times New Roman"/>
          <w:color w:val="000000" w:themeColor="text1"/>
          <w:sz w:val="24"/>
          <w:szCs w:val="24"/>
        </w:rPr>
        <w:t xml:space="preserve"> of a percentage point</w:t>
      </w:r>
      <w:r w:rsidRPr="00827473">
        <w:rPr>
          <w:rFonts w:ascii="Times New Roman" w:hAnsi="Times New Roman"/>
          <w:color w:val="000000" w:themeColor="text1"/>
          <w:sz w:val="24"/>
          <w:szCs w:val="24"/>
        </w:rPr>
        <w:t xml:space="preserve"> </w:t>
      </w:r>
      <w:r>
        <w:rPr>
          <w:rFonts w:ascii="Times New Roman" w:hAnsi="Times New Roman"/>
          <w:color w:val="000000" w:themeColor="text1"/>
          <w:sz w:val="24"/>
          <w:szCs w:val="24"/>
        </w:rPr>
        <w:t>a</w:t>
      </w:r>
      <w:r w:rsidRPr="00827473">
        <w:rPr>
          <w:rFonts w:ascii="Times New Roman" w:hAnsi="Times New Roman"/>
          <w:color w:val="000000" w:themeColor="text1"/>
          <w:sz w:val="24"/>
          <w:szCs w:val="24"/>
        </w:rPr>
        <w:t xml:space="preserve">bove its pre-pandemic low.  </w:t>
      </w:r>
      <w:r w:rsidRPr="00827473">
        <w:rPr>
          <w:rFonts w:ascii="Times New Roman" w:eastAsia="Cambria" w:hAnsi="Times New Roman"/>
          <w:sz w:val="24"/>
          <w:szCs w:val="24"/>
        </w:rPr>
        <w:t>The long-term (27 or more weeks) unemployment rate also declined sharply last year</w:t>
      </w:r>
      <w:r>
        <w:rPr>
          <w:rFonts w:ascii="Times New Roman" w:eastAsia="Cambria" w:hAnsi="Times New Roman"/>
          <w:sz w:val="24"/>
          <w:szCs w:val="24"/>
        </w:rPr>
        <w:t xml:space="preserve"> and, as of April 2022, stood </w:t>
      </w:r>
      <w:r w:rsidRPr="00741759">
        <w:rPr>
          <w:rFonts w:ascii="Times New Roman" w:eastAsia="Cambria" w:hAnsi="Times New Roman"/>
          <w:sz w:val="24"/>
          <w:szCs w:val="24"/>
        </w:rPr>
        <w:t>at 0.9 percent, or just 0.2 percentage points above the pre-pandemic low.</w:t>
      </w:r>
    </w:p>
    <w:p w14:paraId="683AB538" w14:textId="77777777" w:rsidR="004943F8" w:rsidRDefault="004943F8" w:rsidP="004943F8">
      <w:pPr>
        <w:pStyle w:val="NoSpacing"/>
        <w:rPr>
          <w:rFonts w:ascii="Times New Roman" w:eastAsia="Cambria" w:hAnsi="Times New Roman"/>
          <w:sz w:val="24"/>
          <w:szCs w:val="24"/>
        </w:rPr>
      </w:pPr>
    </w:p>
    <w:p w14:paraId="2F4726AC" w14:textId="77777777" w:rsidR="004943F8" w:rsidRDefault="004943F8" w:rsidP="004943F8">
      <w:pPr>
        <w:pStyle w:val="NoSpacing"/>
        <w:rPr>
          <w:rFonts w:ascii="Times New Roman" w:eastAsia="Cambria" w:hAnsi="Times New Roman"/>
          <w:sz w:val="24"/>
          <w:szCs w:val="24"/>
        </w:rPr>
      </w:pPr>
      <w:r>
        <w:rPr>
          <w:rFonts w:ascii="Times New Roman" w:eastAsia="Cambria" w:hAnsi="Times New Roman"/>
          <w:sz w:val="24"/>
          <w:szCs w:val="24"/>
        </w:rPr>
        <w:t>Recovery in the overall labor force participation rate (LFPR) was somewhat restrained in 2021, related in part to the multiple COVID-19 variants that arose during the year and slower population growth due to increased mortality rates and lower immigration.  During the first half of 2021, total LFPR increased by only 0.1 percentage points and by another 0.3 percentage points during the latter half.  Recovery in the LFPR continued this year</w:t>
      </w:r>
      <w:r w:rsidRPr="00677203">
        <w:rPr>
          <w:rFonts w:ascii="Times New Roman" w:eastAsia="Cambria" w:hAnsi="Times New Roman"/>
          <w:sz w:val="24"/>
          <w:szCs w:val="24"/>
        </w:rPr>
        <w:t>, picking up another 0.3 percentage points to 62.2 percent as of April 2022</w:t>
      </w:r>
      <w:r>
        <w:rPr>
          <w:rFonts w:ascii="Times New Roman" w:eastAsia="Cambria" w:hAnsi="Times New Roman"/>
          <w:sz w:val="24"/>
          <w:szCs w:val="24"/>
        </w:rPr>
        <w:t>, but after adjusting for revised population controls published by the Bureau of Labor Statistics, headline LFPR has been little changed because of the pandemic’s effect on specific age groups</w:t>
      </w:r>
      <w:r w:rsidRPr="00677203">
        <w:rPr>
          <w:rFonts w:ascii="Times New Roman" w:eastAsia="Cambria" w:hAnsi="Times New Roman"/>
          <w:sz w:val="24"/>
          <w:szCs w:val="24"/>
        </w:rPr>
        <w:t xml:space="preserve">.  </w:t>
      </w:r>
      <w:r>
        <w:rPr>
          <w:rFonts w:ascii="Times New Roman" w:eastAsia="Cambria" w:hAnsi="Times New Roman"/>
          <w:sz w:val="24"/>
          <w:szCs w:val="24"/>
        </w:rPr>
        <w:t>By contrast,</w:t>
      </w:r>
      <w:r w:rsidRPr="00677203">
        <w:rPr>
          <w:rFonts w:ascii="Times New Roman" w:eastAsia="Cambria" w:hAnsi="Times New Roman"/>
          <w:sz w:val="24"/>
          <w:szCs w:val="24"/>
        </w:rPr>
        <w:t xml:space="preserve"> </w:t>
      </w:r>
      <w:r>
        <w:rPr>
          <w:rFonts w:ascii="Times New Roman" w:eastAsia="Cambria" w:hAnsi="Times New Roman"/>
          <w:sz w:val="24"/>
          <w:szCs w:val="24"/>
        </w:rPr>
        <w:t xml:space="preserve">the </w:t>
      </w:r>
      <w:r w:rsidRPr="00677203">
        <w:rPr>
          <w:rFonts w:ascii="Times New Roman" w:eastAsia="Cambria" w:hAnsi="Times New Roman"/>
          <w:sz w:val="24"/>
          <w:szCs w:val="24"/>
        </w:rPr>
        <w:t xml:space="preserve">prime-age </w:t>
      </w:r>
      <w:r>
        <w:rPr>
          <w:rFonts w:ascii="Times New Roman" w:eastAsia="Cambria" w:hAnsi="Times New Roman"/>
          <w:sz w:val="24"/>
          <w:szCs w:val="24"/>
        </w:rPr>
        <w:t>LFPR</w:t>
      </w:r>
      <w:r w:rsidRPr="00677203">
        <w:rPr>
          <w:rFonts w:ascii="Times New Roman" w:eastAsia="Cambria" w:hAnsi="Times New Roman"/>
          <w:sz w:val="24"/>
          <w:szCs w:val="24"/>
        </w:rPr>
        <w:t xml:space="preserve">, </w:t>
      </w:r>
      <w:r>
        <w:rPr>
          <w:rFonts w:ascii="Times New Roman" w:eastAsia="Cambria" w:hAnsi="Times New Roman"/>
          <w:sz w:val="24"/>
          <w:szCs w:val="24"/>
        </w:rPr>
        <w:t xml:space="preserve">which is not as sensitive to the revised population controls, improved significantly, has improved significantly since the end of 2020.  In the first half of the year, </w:t>
      </w:r>
      <w:r w:rsidRPr="00677203">
        <w:rPr>
          <w:rFonts w:ascii="Times New Roman" w:eastAsia="Cambria" w:hAnsi="Times New Roman"/>
          <w:sz w:val="24"/>
          <w:szCs w:val="24"/>
        </w:rPr>
        <w:t xml:space="preserve">the </w:t>
      </w:r>
      <w:r>
        <w:rPr>
          <w:rFonts w:ascii="Times New Roman" w:eastAsia="Cambria" w:hAnsi="Times New Roman"/>
          <w:sz w:val="24"/>
          <w:szCs w:val="24"/>
        </w:rPr>
        <w:t xml:space="preserve">prime-age </w:t>
      </w:r>
      <w:r w:rsidRPr="00677203">
        <w:rPr>
          <w:rFonts w:ascii="Times New Roman" w:eastAsia="Cambria" w:hAnsi="Times New Roman"/>
          <w:sz w:val="24"/>
          <w:szCs w:val="24"/>
        </w:rPr>
        <w:t xml:space="preserve">LFPR </w:t>
      </w:r>
      <w:r>
        <w:rPr>
          <w:rFonts w:ascii="Times New Roman" w:eastAsia="Cambria" w:hAnsi="Times New Roman"/>
          <w:sz w:val="24"/>
          <w:szCs w:val="24"/>
        </w:rPr>
        <w:t>rose</w:t>
      </w:r>
      <w:r w:rsidRPr="00677203">
        <w:rPr>
          <w:rFonts w:ascii="Times New Roman" w:eastAsia="Cambria" w:hAnsi="Times New Roman"/>
          <w:sz w:val="24"/>
          <w:szCs w:val="24"/>
        </w:rPr>
        <w:t xml:space="preserve"> by 0.7 percentage points to 81.7 percent.  </w:t>
      </w:r>
      <w:r>
        <w:rPr>
          <w:rFonts w:ascii="Times New Roman" w:eastAsia="Cambria" w:hAnsi="Times New Roman"/>
          <w:sz w:val="24"/>
          <w:szCs w:val="24"/>
        </w:rPr>
        <w:t>Although</w:t>
      </w:r>
      <w:r w:rsidRPr="00677203">
        <w:rPr>
          <w:rFonts w:ascii="Times New Roman" w:eastAsia="Cambria" w:hAnsi="Times New Roman"/>
          <w:sz w:val="24"/>
          <w:szCs w:val="24"/>
        </w:rPr>
        <w:t xml:space="preserve"> it was rangebound between 81.6 percent and 81.9 for </w:t>
      </w:r>
      <w:r>
        <w:rPr>
          <w:rFonts w:ascii="Times New Roman" w:eastAsia="Cambria" w:hAnsi="Times New Roman"/>
          <w:sz w:val="24"/>
          <w:szCs w:val="24"/>
        </w:rPr>
        <w:t xml:space="preserve">the second </w:t>
      </w:r>
      <w:r w:rsidRPr="00677203">
        <w:rPr>
          <w:rFonts w:ascii="Times New Roman" w:eastAsia="Cambria" w:hAnsi="Times New Roman"/>
          <w:sz w:val="24"/>
          <w:szCs w:val="24"/>
        </w:rPr>
        <w:t xml:space="preserve">six months. the prime-age LFPR has climbed 0.5 percentage points </w:t>
      </w:r>
      <w:r>
        <w:rPr>
          <w:rFonts w:ascii="Times New Roman" w:eastAsia="Cambria" w:hAnsi="Times New Roman"/>
          <w:sz w:val="24"/>
          <w:szCs w:val="24"/>
        </w:rPr>
        <w:t xml:space="preserve">so far in 2022, rising </w:t>
      </w:r>
      <w:r w:rsidRPr="00677203">
        <w:rPr>
          <w:rFonts w:ascii="Times New Roman" w:eastAsia="Cambria" w:hAnsi="Times New Roman"/>
          <w:sz w:val="24"/>
          <w:szCs w:val="24"/>
        </w:rPr>
        <w:t>to 82.4 percent</w:t>
      </w:r>
      <w:r>
        <w:rPr>
          <w:rFonts w:ascii="Times New Roman" w:eastAsia="Cambria" w:hAnsi="Times New Roman"/>
          <w:sz w:val="24"/>
          <w:szCs w:val="24"/>
        </w:rPr>
        <w:t xml:space="preserve"> as of April—</w:t>
      </w:r>
      <w:r w:rsidRPr="00677203">
        <w:rPr>
          <w:rFonts w:ascii="Times New Roman" w:eastAsia="Cambria" w:hAnsi="Times New Roman"/>
          <w:sz w:val="24"/>
          <w:szCs w:val="24"/>
        </w:rPr>
        <w:t>just below the 82.5 percent rate in March 2020 and just 0.7 percentage points below the high of 83.1 percent reached in January 2020.</w:t>
      </w:r>
      <w:r>
        <w:rPr>
          <w:rFonts w:ascii="Times New Roman" w:eastAsia="Cambria" w:hAnsi="Times New Roman"/>
          <w:sz w:val="24"/>
          <w:szCs w:val="24"/>
        </w:rPr>
        <w:t xml:space="preserve">  </w:t>
      </w:r>
    </w:p>
    <w:p w14:paraId="57A35B97" w14:textId="77777777" w:rsidR="004943F8" w:rsidRDefault="004943F8" w:rsidP="004943F8">
      <w:pPr>
        <w:pStyle w:val="NoSpacing"/>
        <w:rPr>
          <w:rFonts w:ascii="Times New Roman" w:eastAsia="Cambria" w:hAnsi="Times New Roman"/>
          <w:sz w:val="24"/>
          <w:szCs w:val="24"/>
        </w:rPr>
      </w:pPr>
    </w:p>
    <w:p w14:paraId="30FD9828" w14:textId="77777777" w:rsidR="004943F8" w:rsidRDefault="004943F8" w:rsidP="004943F8">
      <w:pPr>
        <w:pStyle w:val="NoSpacing"/>
        <w:rPr>
          <w:rFonts w:ascii="Times New Roman" w:eastAsia="Cambria" w:hAnsi="Times New Roman"/>
          <w:sz w:val="24"/>
          <w:szCs w:val="24"/>
        </w:rPr>
      </w:pPr>
      <w:r>
        <w:rPr>
          <w:rFonts w:ascii="Times New Roman" w:eastAsia="Cambria" w:hAnsi="Times New Roman"/>
          <w:sz w:val="24"/>
          <w:szCs w:val="24"/>
        </w:rPr>
        <w:t xml:space="preserve">Progress in participation for older workers has been slower. For those older than 55 years of age, the LFPR stagnated during 2021, ending the year 0.1 percentage points </w:t>
      </w:r>
      <w:r w:rsidRPr="00D631A3">
        <w:rPr>
          <w:rFonts w:ascii="Times New Roman" w:eastAsia="Cambria" w:hAnsi="Times New Roman"/>
          <w:sz w:val="24"/>
          <w:szCs w:val="24"/>
        </w:rPr>
        <w:t>lower. In the first four months of 2022, their LFPR increased by 0.5 percentage points to 38.9 percent, but this is still more than a full percentage point below the 40.1 percent average rate from 2016 to 2019.</w:t>
      </w:r>
      <w:r>
        <w:rPr>
          <w:rFonts w:ascii="Times New Roman" w:eastAsia="Cambria" w:hAnsi="Times New Roman"/>
          <w:sz w:val="24"/>
          <w:szCs w:val="24"/>
        </w:rPr>
        <w:t xml:space="preserve">  Further progress in older worker LFPR could support employment growth in 2022. </w:t>
      </w:r>
    </w:p>
    <w:p w14:paraId="0BC30A61" w14:textId="77777777" w:rsidR="004943F8" w:rsidRDefault="004943F8" w:rsidP="004943F8">
      <w:pPr>
        <w:pStyle w:val="NoSpacing"/>
        <w:rPr>
          <w:rFonts w:ascii="Times New Roman" w:eastAsia="Cambria" w:hAnsi="Times New Roman"/>
          <w:sz w:val="24"/>
          <w:szCs w:val="24"/>
        </w:rPr>
      </w:pPr>
    </w:p>
    <w:p w14:paraId="5471E887" w14:textId="77777777" w:rsidR="004943F8" w:rsidRPr="00345FBD" w:rsidRDefault="004943F8" w:rsidP="004943F8">
      <w:pPr>
        <w:pStyle w:val="NoSpacing"/>
        <w:rPr>
          <w:rFonts w:ascii="Times New Roman" w:eastAsia="Cambria" w:hAnsi="Times New Roman"/>
          <w:sz w:val="24"/>
          <w:szCs w:val="24"/>
        </w:rPr>
      </w:pPr>
      <w:r>
        <w:rPr>
          <w:rFonts w:ascii="Times New Roman" w:eastAsia="Cambria" w:hAnsi="Times New Roman"/>
          <w:sz w:val="24"/>
          <w:szCs w:val="24"/>
        </w:rPr>
        <w:t>By some measures, labor markets are even tighter than what headline statistics suggest.  According to t</w:t>
      </w:r>
      <w:r w:rsidRPr="000B6B05">
        <w:rPr>
          <w:rFonts w:ascii="Times New Roman" w:eastAsia="Cambria" w:hAnsi="Times New Roman"/>
          <w:sz w:val="24"/>
          <w:szCs w:val="24"/>
        </w:rPr>
        <w:t xml:space="preserve">he Job Openings and Labor Market Turnover Survey (JOLTS), </w:t>
      </w:r>
      <w:r>
        <w:rPr>
          <w:rFonts w:ascii="Times New Roman" w:eastAsia="Cambria" w:hAnsi="Times New Roman"/>
          <w:sz w:val="24"/>
          <w:szCs w:val="24"/>
        </w:rPr>
        <w:t>labor demand has been at or near record highs since February 2021.  Prior to the pandemic, the number of job openings peaked at 7.42 million at the end of October 2019</w:t>
      </w:r>
      <w:r w:rsidRPr="00084EDD">
        <w:rPr>
          <w:rFonts w:ascii="Times New Roman" w:eastAsia="Cambria" w:hAnsi="Times New Roman"/>
          <w:sz w:val="24"/>
          <w:szCs w:val="24"/>
        </w:rPr>
        <w:t>.  By the end of March 2022 (latest available date), job openings were 11.5 million, a fresh series</w:t>
      </w:r>
      <w:r>
        <w:rPr>
          <w:rFonts w:ascii="Times New Roman" w:eastAsia="Cambria" w:hAnsi="Times New Roman"/>
          <w:sz w:val="24"/>
          <w:szCs w:val="24"/>
        </w:rPr>
        <w:t>’</w:t>
      </w:r>
      <w:r w:rsidRPr="00084EDD">
        <w:rPr>
          <w:rFonts w:ascii="Times New Roman" w:eastAsia="Cambria" w:hAnsi="Times New Roman"/>
          <w:sz w:val="24"/>
          <w:szCs w:val="24"/>
        </w:rPr>
        <w:t xml:space="preserve"> high.  Despite more rapid improvement in labor force participation, labor supply is still not keeping pace with labor demand, which had helped boost workers’ confidence about job mobility and their leverage in wage negotiations.  By the end of March 2022, there were 4.5 million job quits, also a fresh series</w:t>
      </w:r>
      <w:r>
        <w:rPr>
          <w:rFonts w:ascii="Times New Roman" w:eastAsia="Cambria" w:hAnsi="Times New Roman"/>
          <w:sz w:val="24"/>
          <w:szCs w:val="24"/>
        </w:rPr>
        <w:t>’</w:t>
      </w:r>
      <w:r w:rsidRPr="00084EDD">
        <w:rPr>
          <w:rFonts w:ascii="Times New Roman" w:eastAsia="Cambria" w:hAnsi="Times New Roman"/>
          <w:sz w:val="24"/>
          <w:szCs w:val="24"/>
        </w:rPr>
        <w:t xml:space="preserve"> high, and about three-quarters of a million more than the pre-pandemic high.</w:t>
      </w:r>
      <w:r>
        <w:rPr>
          <w:rFonts w:ascii="Times New Roman" w:eastAsia="Cambria" w:hAnsi="Times New Roman"/>
          <w:sz w:val="24"/>
          <w:szCs w:val="24"/>
        </w:rPr>
        <w:t xml:space="preserve">  A particularly telling statistic of labor market tightness is the official number of unemployed persons per job openings, which declined to 0.5 by the end of March, implying there are roughly </w:t>
      </w:r>
      <w:r>
        <w:rPr>
          <w:rFonts w:ascii="Times New Roman" w:eastAsia="Cambria" w:hAnsi="Times New Roman"/>
          <w:sz w:val="24"/>
          <w:szCs w:val="24"/>
        </w:rPr>
        <w:lastRenderedPageBreak/>
        <w:t>two job openings for every unemployed person.  A reading of 0.5 sets a new series’ low and is one-half of the pre-pandemic reading of 1.0</w:t>
      </w:r>
    </w:p>
    <w:p w14:paraId="30F27336" w14:textId="77777777" w:rsidR="004943F8" w:rsidRDefault="004943F8" w:rsidP="004943F8">
      <w:pPr>
        <w:pStyle w:val="NoSpacing"/>
        <w:rPr>
          <w:rFonts w:ascii="Times New Roman" w:hAnsi="Times New Roman"/>
          <w:color w:val="000000" w:themeColor="text1"/>
          <w:sz w:val="24"/>
          <w:szCs w:val="24"/>
        </w:rPr>
      </w:pPr>
    </w:p>
    <w:p w14:paraId="603AB53C" w14:textId="77777777" w:rsidR="004943F8" w:rsidRPr="00AA16FC" w:rsidRDefault="004943F8" w:rsidP="004943F8">
      <w:pPr>
        <w:pStyle w:val="NoSpacing"/>
        <w:rPr>
          <w:rFonts w:ascii="Times New Roman" w:eastAsia="Cambria" w:hAnsi="Times New Roman"/>
          <w:sz w:val="24"/>
          <w:szCs w:val="24"/>
        </w:rPr>
      </w:pPr>
      <w:r>
        <w:rPr>
          <w:rFonts w:ascii="Times New Roman" w:eastAsia="Cambria" w:hAnsi="Times New Roman"/>
          <w:sz w:val="24"/>
          <w:szCs w:val="24"/>
        </w:rPr>
        <w:t>This</w:t>
      </w:r>
      <w:r w:rsidRPr="000B6B05">
        <w:rPr>
          <w:rFonts w:ascii="Times New Roman" w:eastAsia="Cambria" w:hAnsi="Times New Roman"/>
          <w:sz w:val="24"/>
          <w:szCs w:val="24"/>
        </w:rPr>
        <w:t xml:space="preserve"> favorable labor market for workers</w:t>
      </w:r>
      <w:r>
        <w:rPr>
          <w:rFonts w:ascii="Times New Roman" w:hAnsi="Times New Roman"/>
          <w:color w:val="000000" w:themeColor="text1"/>
          <w:sz w:val="24"/>
          <w:szCs w:val="24"/>
        </w:rPr>
        <w:t xml:space="preserve"> has led to strong growth in nominal wages</w:t>
      </w:r>
      <w:r w:rsidRPr="0090110F">
        <w:rPr>
          <w:rFonts w:ascii="Times New Roman" w:hAnsi="Times New Roman"/>
          <w:color w:val="000000" w:themeColor="text1"/>
          <w:sz w:val="24"/>
          <w:szCs w:val="24"/>
        </w:rPr>
        <w:t>.  For production and nonsupervisory workers, n</w:t>
      </w:r>
      <w:r w:rsidRPr="0090110F">
        <w:rPr>
          <w:rFonts w:ascii="Times New Roman" w:eastAsia="Cambria" w:hAnsi="Times New Roman"/>
          <w:sz w:val="24"/>
          <w:szCs w:val="24"/>
        </w:rPr>
        <w:t xml:space="preserve">ominal average hourly earnings increased 6.4 percent over the year through April 2022; twelve-month gains in this measure have remained well above 6.0 percent in each of the past seven months.  </w:t>
      </w:r>
      <w:r w:rsidRPr="0090110F">
        <w:rPr>
          <w:rFonts w:ascii="Times New Roman" w:hAnsi="Times New Roman"/>
          <w:color w:val="000000" w:themeColor="text1"/>
          <w:sz w:val="24"/>
          <w:szCs w:val="24"/>
        </w:rPr>
        <w:t>The Employment Cost Index (</w:t>
      </w:r>
      <w:r w:rsidRPr="001A37E8">
        <w:rPr>
          <w:rFonts w:ascii="Times New Roman" w:hAnsi="Times New Roman"/>
          <w:color w:val="000000" w:themeColor="text1"/>
          <w:sz w:val="24"/>
          <w:szCs w:val="24"/>
        </w:rPr>
        <w:t xml:space="preserve">ECI), which </w:t>
      </w:r>
      <w:r w:rsidRPr="001A37E8">
        <w:rPr>
          <w:rFonts w:ascii="Times New Roman" w:hAnsi="Times New Roman"/>
          <w:sz w:val="24"/>
          <w:szCs w:val="24"/>
        </w:rPr>
        <w:t>better controls for changes in labor composition and is a more comprehensive measure of total compensation</w:t>
      </w:r>
      <w:r w:rsidRPr="001A37E8">
        <w:rPr>
          <w:rFonts w:ascii="Times New Roman" w:hAnsi="Times New Roman"/>
          <w:color w:val="000000" w:themeColor="text1"/>
          <w:sz w:val="24"/>
          <w:szCs w:val="24"/>
        </w:rPr>
        <w:t xml:space="preserve">, </w:t>
      </w:r>
      <w:r w:rsidRPr="001A37E8">
        <w:rPr>
          <w:rFonts w:ascii="Times New Roman" w:hAnsi="Times New Roman"/>
          <w:sz w:val="24"/>
          <w:szCs w:val="24"/>
        </w:rPr>
        <w:t xml:space="preserve">showed private sector wages increasing 5.0 percent over the four quarters ending in March 2022, matching the previous quarter’s twelve-month pace as the fastest since the first quarter of </w:t>
      </w:r>
      <w:r w:rsidRPr="00AB322F">
        <w:rPr>
          <w:rFonts w:ascii="Times New Roman" w:hAnsi="Times New Roman"/>
          <w:sz w:val="24"/>
          <w:szCs w:val="24"/>
        </w:rPr>
        <w:t>1984.</w:t>
      </w:r>
      <w:r w:rsidRPr="005D1042">
        <w:rPr>
          <w:rFonts w:ascii="Times New Roman" w:hAnsi="Times New Roman"/>
          <w:sz w:val="24"/>
          <w:szCs w:val="24"/>
        </w:rPr>
        <w:t xml:space="preserve">  Lower wage occupations and industries continue to see the fastest growth in wages.  In leisure and hospitality industries, the ECI for private wage growth jumped 9.0 percent over the year ending in the fourth quarter of 2021, while the retail trade ECI was 7.4 percent higher.</w:t>
      </w:r>
      <w:r w:rsidRPr="00AB322F">
        <w:rPr>
          <w:rFonts w:ascii="Times New Roman" w:hAnsi="Times New Roman"/>
          <w:sz w:val="24"/>
          <w:szCs w:val="24"/>
        </w:rPr>
        <w:t xml:space="preserve">  </w:t>
      </w:r>
      <w:r>
        <w:rPr>
          <w:rFonts w:ascii="Times New Roman" w:hAnsi="Times New Roman"/>
          <w:sz w:val="24"/>
          <w:szCs w:val="24"/>
        </w:rPr>
        <w:t>Wage growth appears to be outpacing productivity growth, likely contributing to inflation.</w:t>
      </w:r>
    </w:p>
    <w:p w14:paraId="597B7562" w14:textId="77777777" w:rsidR="00914C23" w:rsidRDefault="00914C23" w:rsidP="00055EB9">
      <w:pPr>
        <w:spacing w:after="160" w:line="259" w:lineRule="auto"/>
        <w:jc w:val="center"/>
        <w:rPr>
          <w:rFonts w:asciiTheme="minorHAnsi" w:hAnsiTheme="minorHAnsi" w:cstheme="minorBidi"/>
          <w:b/>
          <w:color w:val="000000"/>
          <w:sz w:val="24"/>
        </w:rPr>
      </w:pPr>
    </w:p>
    <w:p w14:paraId="3DE6B5A9" w14:textId="77777777" w:rsidR="00914C23" w:rsidRDefault="00914C23" w:rsidP="00055EB9">
      <w:pPr>
        <w:spacing w:after="160" w:line="259" w:lineRule="auto"/>
        <w:jc w:val="center"/>
        <w:rPr>
          <w:rFonts w:asciiTheme="minorHAnsi" w:hAnsiTheme="minorHAnsi" w:cstheme="minorBidi"/>
          <w:b/>
          <w:color w:val="000000"/>
          <w:sz w:val="24"/>
        </w:rPr>
      </w:pPr>
    </w:p>
    <w:p w14:paraId="5EB1E664" w14:textId="56D3F3A1" w:rsidR="00055EB9" w:rsidRPr="00055EB9" w:rsidRDefault="00055EB9" w:rsidP="00055EB9">
      <w:pPr>
        <w:spacing w:after="160" w:line="259" w:lineRule="auto"/>
        <w:jc w:val="center"/>
        <w:rPr>
          <w:rFonts w:asciiTheme="minorHAnsi" w:eastAsiaTheme="minorHAnsi" w:hAnsiTheme="minorHAnsi" w:cstheme="minorBidi"/>
          <w:noProof/>
        </w:rPr>
      </w:pPr>
      <w:r w:rsidRPr="00055EB9">
        <w:rPr>
          <w:rFonts w:asciiTheme="minorHAnsi" w:hAnsiTheme="minorHAnsi" w:cstheme="minorBidi"/>
          <w:b/>
          <w:color w:val="000000"/>
          <w:sz w:val="24"/>
        </w:rPr>
        <w:t>Payroll Employment</w:t>
      </w:r>
      <w:bookmarkEnd w:id="0"/>
    </w:p>
    <w:p w14:paraId="69E06D88" w14:textId="77777777" w:rsidR="00055EB9" w:rsidRPr="00055EB9" w:rsidRDefault="00055EB9" w:rsidP="00055EB9">
      <w:pPr>
        <w:spacing w:after="0" w:line="240" w:lineRule="auto"/>
        <w:jc w:val="center"/>
        <w:rPr>
          <w:rFonts w:asciiTheme="minorHAnsi" w:eastAsiaTheme="minorHAnsi" w:hAnsiTheme="minorHAnsi" w:cstheme="minorBidi"/>
          <w:noProof/>
        </w:rPr>
      </w:pPr>
      <w:r w:rsidRPr="00055EB9">
        <w:rPr>
          <w:rFonts w:asciiTheme="minorHAnsi" w:hAnsiTheme="minorHAnsi" w:cstheme="minorBidi"/>
          <w:color w:val="000000"/>
          <w:sz w:val="18"/>
          <w:szCs w:val="18"/>
        </w:rPr>
        <w:t>(Monthly average for year shown and monthly amounts)</w:t>
      </w:r>
    </w:p>
    <w:p w14:paraId="2BBAD51B" w14:textId="6079BD50" w:rsidR="004943F8" w:rsidRPr="00914C23" w:rsidRDefault="00055EB9" w:rsidP="00914C23">
      <w:pPr>
        <w:jc w:val="center"/>
        <w:rPr>
          <w:rFonts w:ascii="Times New Roman" w:hAnsi="Times New Roman"/>
          <w:b/>
          <w:bCs/>
          <w:sz w:val="24"/>
          <w:szCs w:val="24"/>
        </w:rPr>
      </w:pPr>
      <w:r>
        <w:rPr>
          <w:noProof/>
        </w:rPr>
        <w:drawing>
          <wp:inline distT="0" distB="0" distL="0" distR="0" wp14:anchorId="1AC53F4F" wp14:editId="4B614967">
            <wp:extent cx="4343400" cy="2511618"/>
            <wp:effectExtent l="0" t="0" r="0" b="3175"/>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356753" cy="2519340"/>
                    </a:xfrm>
                    <a:prstGeom prst="rect">
                      <a:avLst/>
                    </a:prstGeom>
                  </pic:spPr>
                </pic:pic>
              </a:graphicData>
            </a:graphic>
          </wp:inline>
        </w:drawing>
      </w:r>
    </w:p>
    <w:p w14:paraId="1B9B6E2F"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6261CD1F"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71151BD8"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39FD1278"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56C081EA"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1673E1D2"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198A6C85"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222B3CDA"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3A0D5792"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743674C1"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2E59A0DA"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26FD33AF" w14:textId="77777777" w:rsidR="00914C23" w:rsidRDefault="00914C23" w:rsidP="00055EB9">
      <w:pPr>
        <w:spacing w:after="0" w:line="259" w:lineRule="auto"/>
        <w:jc w:val="center"/>
        <w:rPr>
          <w:rFonts w:asciiTheme="minorHAnsi" w:eastAsiaTheme="minorHAnsi" w:hAnsiTheme="minorHAnsi" w:cstheme="minorBidi"/>
          <w:b/>
          <w:bCs/>
          <w:noProof/>
          <w:sz w:val="24"/>
          <w:szCs w:val="24"/>
        </w:rPr>
      </w:pPr>
    </w:p>
    <w:p w14:paraId="19C04C62" w14:textId="3F7C84BE" w:rsidR="00055EB9" w:rsidRPr="00055EB9" w:rsidRDefault="00055EB9" w:rsidP="00055EB9">
      <w:pPr>
        <w:spacing w:after="0" w:line="259" w:lineRule="auto"/>
        <w:jc w:val="center"/>
        <w:rPr>
          <w:rFonts w:asciiTheme="minorHAnsi" w:eastAsiaTheme="minorHAnsi" w:hAnsiTheme="minorHAnsi" w:cstheme="minorBidi"/>
          <w:b/>
          <w:bCs/>
          <w:noProof/>
          <w:sz w:val="24"/>
          <w:szCs w:val="24"/>
        </w:rPr>
      </w:pPr>
      <w:r w:rsidRPr="00055EB9">
        <w:rPr>
          <w:rFonts w:asciiTheme="minorHAnsi" w:eastAsiaTheme="minorHAnsi" w:hAnsiTheme="minorHAnsi" w:cstheme="minorBidi"/>
          <w:b/>
          <w:bCs/>
          <w:noProof/>
          <w:sz w:val="24"/>
          <w:szCs w:val="24"/>
        </w:rPr>
        <w:t>Unemployment Rate</w:t>
      </w:r>
    </w:p>
    <w:p w14:paraId="013F1B7B" w14:textId="41598B39" w:rsidR="00055EB9" w:rsidRDefault="00055EB9" w:rsidP="00055EB9">
      <w:pPr>
        <w:spacing w:after="0" w:line="259" w:lineRule="auto"/>
        <w:jc w:val="center"/>
        <w:rPr>
          <w:rFonts w:asciiTheme="minorHAnsi" w:hAnsiTheme="minorHAnsi" w:cstheme="minorBidi"/>
          <w:color w:val="000000"/>
          <w:sz w:val="18"/>
          <w:szCs w:val="18"/>
        </w:rPr>
      </w:pPr>
      <w:r w:rsidRPr="00055EB9">
        <w:rPr>
          <w:rFonts w:asciiTheme="minorHAnsi" w:hAnsiTheme="minorHAnsi" w:cstheme="minorBidi"/>
          <w:color w:val="000000"/>
          <w:sz w:val="18"/>
          <w:szCs w:val="18"/>
        </w:rPr>
        <w:t>(Percent)</w:t>
      </w:r>
    </w:p>
    <w:p w14:paraId="2435A6C9" w14:textId="77777777" w:rsidR="00001B0A" w:rsidRDefault="00055EB9" w:rsidP="00001B0A">
      <w:pPr>
        <w:spacing w:after="0" w:line="259" w:lineRule="auto"/>
        <w:jc w:val="center"/>
        <w:rPr>
          <w:rFonts w:asciiTheme="minorHAnsi" w:hAnsiTheme="minorHAnsi" w:cstheme="minorBidi"/>
          <w:color w:val="000000"/>
          <w:sz w:val="18"/>
          <w:szCs w:val="18"/>
        </w:rPr>
      </w:pPr>
      <w:r>
        <w:rPr>
          <w:noProof/>
        </w:rPr>
        <w:drawing>
          <wp:inline distT="0" distB="0" distL="0" distR="0" wp14:anchorId="242EDD75" wp14:editId="608288A2">
            <wp:extent cx="3522442" cy="2724150"/>
            <wp:effectExtent l="0" t="0" r="1905"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3573000" cy="2763250"/>
                    </a:xfrm>
                    <a:prstGeom prst="rect">
                      <a:avLst/>
                    </a:prstGeom>
                  </pic:spPr>
                </pic:pic>
              </a:graphicData>
            </a:graphic>
          </wp:inline>
        </w:drawing>
      </w:r>
    </w:p>
    <w:p w14:paraId="7497CC59" w14:textId="77777777" w:rsidR="004943F8" w:rsidRDefault="004943F8" w:rsidP="00001B0A">
      <w:pPr>
        <w:spacing w:after="0" w:line="259" w:lineRule="auto"/>
        <w:rPr>
          <w:rFonts w:ascii="Times New Roman" w:hAnsi="Times New Roman"/>
          <w:b/>
          <w:bCs/>
          <w:sz w:val="24"/>
          <w:szCs w:val="24"/>
        </w:rPr>
      </w:pPr>
    </w:p>
    <w:p w14:paraId="58B9DF09" w14:textId="0E0BC52B" w:rsidR="000C6D54" w:rsidRPr="00001B0A" w:rsidRDefault="000C6D54" w:rsidP="00001B0A">
      <w:pPr>
        <w:spacing w:after="0" w:line="259" w:lineRule="auto"/>
        <w:rPr>
          <w:rFonts w:asciiTheme="minorHAnsi" w:hAnsiTheme="minorHAnsi" w:cstheme="minorBidi"/>
          <w:color w:val="000000"/>
          <w:sz w:val="18"/>
          <w:szCs w:val="18"/>
        </w:rPr>
      </w:pPr>
      <w:r w:rsidRPr="00984AAF">
        <w:rPr>
          <w:rFonts w:ascii="Times New Roman" w:hAnsi="Times New Roman"/>
          <w:b/>
          <w:bCs/>
          <w:sz w:val="24"/>
          <w:szCs w:val="24"/>
        </w:rPr>
        <w:t>Nonfarm Productivity of Labor</w:t>
      </w:r>
    </w:p>
    <w:p w14:paraId="3A8722CA" w14:textId="77777777" w:rsidR="00001B0A" w:rsidRDefault="00001B0A" w:rsidP="000C6D54">
      <w:pPr>
        <w:pStyle w:val="NoSpacing"/>
        <w:rPr>
          <w:rFonts w:ascii="Times New Roman" w:hAnsi="Times New Roman"/>
          <w:color w:val="000000"/>
          <w:sz w:val="24"/>
          <w:szCs w:val="24"/>
        </w:rPr>
      </w:pPr>
    </w:p>
    <w:p w14:paraId="3CAC78EE" w14:textId="77777777" w:rsidR="004943F8" w:rsidRPr="003F4851" w:rsidRDefault="004943F8" w:rsidP="004943F8">
      <w:pPr>
        <w:pStyle w:val="NoSpacing"/>
        <w:rPr>
          <w:rFonts w:ascii="Times New Roman" w:hAnsi="Times New Roman"/>
          <w:color w:val="000000"/>
          <w:sz w:val="24"/>
          <w:szCs w:val="24"/>
        </w:rPr>
      </w:pPr>
      <w:r w:rsidRPr="00E262B0">
        <w:rPr>
          <w:rFonts w:ascii="Times New Roman" w:hAnsi="Times New Roman"/>
          <w:color w:val="000000"/>
          <w:sz w:val="24"/>
          <w:szCs w:val="24"/>
        </w:rPr>
        <w:t xml:space="preserve">Quarterly productivity growth rates have fluctuated markedly in recent quarters.  </w:t>
      </w:r>
      <w:r w:rsidRPr="0075574B">
        <w:rPr>
          <w:rFonts w:ascii="Times New Roman" w:hAnsi="Times New Roman"/>
          <w:color w:val="000000"/>
          <w:sz w:val="24"/>
          <w:szCs w:val="24"/>
        </w:rPr>
        <w:t>After advancing 6.3 percent at an annual rate in the final quarter of 2021, productivity dropped 7.</w:t>
      </w:r>
      <w:r>
        <w:rPr>
          <w:rFonts w:ascii="Times New Roman" w:hAnsi="Times New Roman"/>
          <w:color w:val="000000"/>
          <w:sz w:val="24"/>
          <w:szCs w:val="24"/>
        </w:rPr>
        <w:t>5</w:t>
      </w:r>
      <w:r w:rsidRPr="0075574B">
        <w:rPr>
          <w:rFonts w:ascii="Times New Roman" w:hAnsi="Times New Roman"/>
          <w:color w:val="000000"/>
          <w:sz w:val="24"/>
          <w:szCs w:val="24"/>
        </w:rPr>
        <w:t xml:space="preserve"> percent in the first quarter of </w:t>
      </w:r>
      <w:r w:rsidRPr="003F4851">
        <w:rPr>
          <w:rFonts w:ascii="Times New Roman" w:hAnsi="Times New Roman"/>
          <w:color w:val="000000"/>
          <w:sz w:val="24"/>
          <w:szCs w:val="24"/>
        </w:rPr>
        <w:t>2022, reflecting the combination of a 2.4 percent decline in output and a 5.5 percent increase in worker hours.  On a year-over-year basis, productivity growth was down 0.6 percent through the first quarter of 2022, swinging from a 3.9 percent, four-quarter increase a year earlier.</w:t>
      </w:r>
    </w:p>
    <w:p w14:paraId="3FA828E3" w14:textId="77777777" w:rsidR="004943F8" w:rsidRPr="00322CF6" w:rsidRDefault="004943F8" w:rsidP="004943F8">
      <w:pPr>
        <w:pStyle w:val="NoSpacing"/>
        <w:rPr>
          <w:rFonts w:ascii="Times New Roman" w:hAnsi="Times New Roman"/>
          <w:color w:val="000000"/>
          <w:sz w:val="24"/>
          <w:szCs w:val="24"/>
          <w:highlight w:val="yellow"/>
        </w:rPr>
      </w:pPr>
    </w:p>
    <w:p w14:paraId="313571EB" w14:textId="77777777" w:rsidR="004943F8" w:rsidRPr="00481F62" w:rsidRDefault="004943F8" w:rsidP="004943F8">
      <w:pPr>
        <w:pStyle w:val="NoSpacing"/>
        <w:rPr>
          <w:rFonts w:ascii="Times New Roman" w:hAnsi="Times New Roman"/>
          <w:sz w:val="24"/>
          <w:szCs w:val="24"/>
        </w:rPr>
      </w:pPr>
      <w:r w:rsidRPr="00984AAF">
        <w:rPr>
          <w:rFonts w:ascii="Times New Roman" w:hAnsi="Times New Roman"/>
          <w:sz w:val="24"/>
          <w:szCs w:val="24"/>
        </w:rPr>
        <w:t>Nominal hourly compensation costs in the nonfarm business sector rose 3.2 percent at an annual rate in the first quarter of 2022, after advancing 7.4 percent in the final quarter of 2021.  Compensation costs rose at a solid 6.5 percent over the four most recent quarters–picking up from the 6.2 percent year-earlier pace</w:t>
      </w:r>
      <w:r w:rsidRPr="002F7C72">
        <w:rPr>
          <w:rFonts w:ascii="Times New Roman" w:hAnsi="Times New Roman"/>
          <w:sz w:val="24"/>
          <w:szCs w:val="24"/>
        </w:rPr>
        <w:t>.  Unit labor costs, defined as the average cost of labor per unit of output, were up 11.6 percent at an annual rate in the first quarter, escalating sharply from a 1.0 percent gain in the fourth quarter of 2021</w:t>
      </w:r>
      <w:r w:rsidRPr="00481F62">
        <w:rPr>
          <w:rFonts w:ascii="Times New Roman" w:hAnsi="Times New Roman"/>
          <w:sz w:val="24"/>
          <w:szCs w:val="24"/>
        </w:rPr>
        <w:t xml:space="preserve">. These costs were up 7.2 percent over the most recent four quarters, about three times the 2.3 percent pace over the four quarters ending in 2021’s first quarter.  </w:t>
      </w:r>
    </w:p>
    <w:p w14:paraId="35D724CD" w14:textId="409F2413" w:rsidR="000C6D54" w:rsidRDefault="000C6D54" w:rsidP="000C6D54">
      <w:pPr>
        <w:pStyle w:val="NoSpacing"/>
        <w:rPr>
          <w:rFonts w:ascii="Times New Roman" w:hAnsi="Times New Roman"/>
          <w:sz w:val="24"/>
          <w:szCs w:val="24"/>
          <w:highlight w:val="yellow"/>
        </w:rPr>
      </w:pPr>
    </w:p>
    <w:p w14:paraId="0A862290" w14:textId="77777777" w:rsidR="003F4851" w:rsidRPr="00285503" w:rsidRDefault="003F4851" w:rsidP="00C8036F">
      <w:pPr>
        <w:pStyle w:val="NoSpacing"/>
        <w:rPr>
          <w:sz w:val="24"/>
          <w:szCs w:val="24"/>
        </w:rPr>
      </w:pPr>
      <w:bookmarkStart w:id="1" w:name="_Hlk102734374"/>
      <w:bookmarkStart w:id="2" w:name="_Hlk79747513"/>
    </w:p>
    <w:bookmarkEnd w:id="1"/>
    <w:bookmarkEnd w:id="2"/>
    <w:p w14:paraId="19ABAC4F" w14:textId="77777777" w:rsidR="000C6D54" w:rsidRPr="00481F62" w:rsidRDefault="000C6D54" w:rsidP="000C6D54">
      <w:pPr>
        <w:rPr>
          <w:rFonts w:ascii="Times New Roman" w:hAnsi="Times New Roman"/>
          <w:b/>
          <w:bCs/>
          <w:sz w:val="24"/>
          <w:szCs w:val="24"/>
        </w:rPr>
      </w:pPr>
      <w:r w:rsidRPr="00481F62">
        <w:rPr>
          <w:rFonts w:ascii="Times New Roman" w:hAnsi="Times New Roman"/>
          <w:b/>
          <w:bCs/>
          <w:sz w:val="24"/>
          <w:szCs w:val="24"/>
        </w:rPr>
        <w:t>Industrial Production, Manufacturing, and Services</w:t>
      </w:r>
    </w:p>
    <w:p w14:paraId="6CFD9959" w14:textId="77777777" w:rsidR="004943F8" w:rsidRDefault="004943F8" w:rsidP="004943F8">
      <w:pPr>
        <w:pStyle w:val="NoSpacing"/>
        <w:rPr>
          <w:rFonts w:ascii="Times New Roman" w:hAnsi="Times New Roman"/>
          <w:sz w:val="24"/>
          <w:szCs w:val="24"/>
        </w:rPr>
      </w:pPr>
      <w:r w:rsidRPr="00C66A94">
        <w:rPr>
          <w:rFonts w:ascii="Times New Roman" w:hAnsi="Times New Roman"/>
          <w:sz w:val="24"/>
          <w:szCs w:val="24"/>
        </w:rPr>
        <w:t xml:space="preserve">Total industrial production trended higher in 2021, </w:t>
      </w:r>
      <w:r>
        <w:rPr>
          <w:rFonts w:ascii="Times New Roman" w:hAnsi="Times New Roman"/>
          <w:sz w:val="24"/>
          <w:szCs w:val="24"/>
        </w:rPr>
        <w:t>rising 3.5 percent over the year ending December.  Total output growth was propelled by an 8.8 percent increase in mining output—</w:t>
      </w:r>
      <w:r>
        <w:rPr>
          <w:rFonts w:ascii="Times New Roman" w:hAnsi="Times New Roman"/>
          <w:sz w:val="24"/>
          <w:szCs w:val="24"/>
        </w:rPr>
        <w:lastRenderedPageBreak/>
        <w:t>largely from increased oil and natural gas extraction and related support activities—and a 3.7 percent gain in manufacturing production.</w:t>
      </w:r>
    </w:p>
    <w:p w14:paraId="57F0DC53" w14:textId="77777777" w:rsidR="004943F8" w:rsidRDefault="004943F8" w:rsidP="004943F8">
      <w:pPr>
        <w:pStyle w:val="NoSpacing"/>
        <w:rPr>
          <w:rFonts w:ascii="Times New Roman" w:hAnsi="Times New Roman"/>
          <w:sz w:val="24"/>
          <w:szCs w:val="24"/>
        </w:rPr>
      </w:pPr>
    </w:p>
    <w:p w14:paraId="4E4132B2" w14:textId="77777777" w:rsidR="004943F8" w:rsidRPr="00B61CBE" w:rsidRDefault="004943F8" w:rsidP="004943F8">
      <w:pPr>
        <w:pStyle w:val="NoSpacing"/>
        <w:rPr>
          <w:rFonts w:ascii="Times New Roman" w:hAnsi="Times New Roman"/>
          <w:sz w:val="24"/>
          <w:szCs w:val="24"/>
        </w:rPr>
      </w:pPr>
      <w:r>
        <w:rPr>
          <w:rFonts w:ascii="Times New Roman" w:hAnsi="Times New Roman"/>
          <w:sz w:val="24"/>
          <w:szCs w:val="24"/>
        </w:rPr>
        <w:t>In 2021, manufacturing output—which accounts for about 74 percent of all industrial output—</w:t>
      </w:r>
      <w:r w:rsidRPr="00C66A94">
        <w:rPr>
          <w:rFonts w:ascii="Times New Roman" w:hAnsi="Times New Roman"/>
          <w:sz w:val="24"/>
          <w:szCs w:val="24"/>
        </w:rPr>
        <w:t xml:space="preserve">was hindered by </w:t>
      </w:r>
      <w:r>
        <w:rPr>
          <w:rFonts w:ascii="Times New Roman" w:hAnsi="Times New Roman"/>
          <w:sz w:val="24"/>
          <w:szCs w:val="24"/>
        </w:rPr>
        <w:t xml:space="preserve">persistent </w:t>
      </w:r>
      <w:r w:rsidRPr="00C66A94">
        <w:rPr>
          <w:rFonts w:ascii="Times New Roman" w:hAnsi="Times New Roman"/>
          <w:sz w:val="24"/>
          <w:szCs w:val="24"/>
        </w:rPr>
        <w:t>supply-chain disruptions</w:t>
      </w:r>
      <w:r>
        <w:rPr>
          <w:rFonts w:ascii="Times New Roman" w:hAnsi="Times New Roman"/>
          <w:sz w:val="24"/>
          <w:szCs w:val="24"/>
        </w:rPr>
        <w:t xml:space="preserve">, particularly in the production of motor vehicles and parts.  </w:t>
      </w:r>
    </w:p>
    <w:p w14:paraId="3642A8A3" w14:textId="77777777" w:rsidR="004943F8" w:rsidRDefault="004943F8" w:rsidP="004943F8">
      <w:pPr>
        <w:pStyle w:val="NoSpacing"/>
        <w:rPr>
          <w:rFonts w:ascii="Times New Roman" w:hAnsi="Times New Roman"/>
          <w:sz w:val="24"/>
          <w:szCs w:val="24"/>
        </w:rPr>
      </w:pPr>
      <w:r>
        <w:rPr>
          <w:rFonts w:ascii="Times New Roman" w:hAnsi="Times New Roman"/>
          <w:sz w:val="24"/>
          <w:szCs w:val="24"/>
        </w:rPr>
        <w:t>Over the year ending December 2021, automotive manufacturing output was down 6.5 percent.  Supply-chain disruptions have led to volatile production patterns for motor vehicles and parts</w:t>
      </w:r>
      <w:r w:rsidRPr="006705F3">
        <w:rPr>
          <w:rFonts w:ascii="Times New Roman" w:hAnsi="Times New Roman"/>
          <w:sz w:val="24"/>
          <w:szCs w:val="24"/>
        </w:rPr>
        <w:t xml:space="preserve">.  </w:t>
      </w:r>
      <w:r>
        <w:rPr>
          <w:rFonts w:ascii="Times New Roman" w:hAnsi="Times New Roman"/>
          <w:sz w:val="24"/>
          <w:szCs w:val="24"/>
        </w:rPr>
        <w:t>Automotive output declined in six months of 2021, and production rarely grew or shrank in consecutive months until the second half of the year.  A</w:t>
      </w:r>
      <w:r w:rsidRPr="006705F3">
        <w:rPr>
          <w:rFonts w:ascii="Times New Roman" w:hAnsi="Times New Roman"/>
          <w:sz w:val="24"/>
          <w:szCs w:val="24"/>
        </w:rPr>
        <w:t xml:space="preserve">fter a combined, nearly 12 percent increase in output over October and November 2021, </w:t>
      </w:r>
      <w:r>
        <w:rPr>
          <w:rFonts w:ascii="Times New Roman" w:hAnsi="Times New Roman"/>
          <w:sz w:val="24"/>
          <w:szCs w:val="24"/>
        </w:rPr>
        <w:t xml:space="preserve">automotive </w:t>
      </w:r>
      <w:r w:rsidRPr="006705F3">
        <w:rPr>
          <w:rFonts w:ascii="Times New Roman" w:hAnsi="Times New Roman"/>
          <w:sz w:val="24"/>
          <w:szCs w:val="24"/>
        </w:rPr>
        <w:t>production trended lower over the next three months, dropping by a combined 4.6 percent through February</w:t>
      </w:r>
      <w:r>
        <w:rPr>
          <w:rFonts w:ascii="Times New Roman" w:hAnsi="Times New Roman"/>
          <w:sz w:val="24"/>
          <w:szCs w:val="24"/>
        </w:rPr>
        <w:t>.  By contrast, nonautomotive manufacturing output grew relatively steadily in 2021, ending the year up 4.6 percent from December 2020.</w:t>
      </w:r>
    </w:p>
    <w:p w14:paraId="364C441E" w14:textId="77777777" w:rsidR="004943F8" w:rsidRDefault="004943F8" w:rsidP="004943F8">
      <w:pPr>
        <w:pStyle w:val="NoSpacing"/>
        <w:rPr>
          <w:rFonts w:ascii="Times New Roman" w:hAnsi="Times New Roman"/>
          <w:sz w:val="24"/>
          <w:szCs w:val="24"/>
        </w:rPr>
      </w:pPr>
    </w:p>
    <w:p w14:paraId="26DDF0A4" w14:textId="77777777" w:rsidR="004943F8" w:rsidRDefault="004943F8" w:rsidP="004943F8">
      <w:pPr>
        <w:pStyle w:val="NoSpacing"/>
        <w:rPr>
          <w:rFonts w:ascii="Times New Roman" w:hAnsi="Times New Roman"/>
          <w:sz w:val="24"/>
          <w:szCs w:val="24"/>
        </w:rPr>
      </w:pPr>
      <w:r w:rsidDel="00F33C4B">
        <w:rPr>
          <w:rFonts w:ascii="Times New Roman" w:hAnsi="Times New Roman"/>
          <w:sz w:val="24"/>
          <w:szCs w:val="24"/>
        </w:rPr>
        <w:t xml:space="preserve">Recently, </w:t>
      </w:r>
      <w:r w:rsidRPr="00C66A94" w:rsidDel="00F33C4B">
        <w:rPr>
          <w:rFonts w:ascii="Times New Roman" w:hAnsi="Times New Roman"/>
          <w:sz w:val="24"/>
          <w:szCs w:val="24"/>
        </w:rPr>
        <w:t>there have been some signs that supply-chain problems may be easing</w:t>
      </w:r>
      <w:r w:rsidRPr="00B61CBE" w:rsidDel="00F33C4B">
        <w:rPr>
          <w:rFonts w:ascii="Times New Roman" w:hAnsi="Times New Roman"/>
          <w:sz w:val="24"/>
          <w:szCs w:val="24"/>
        </w:rPr>
        <w:t xml:space="preserve">.  </w:t>
      </w:r>
      <w:r>
        <w:rPr>
          <w:rFonts w:ascii="Times New Roman" w:hAnsi="Times New Roman"/>
          <w:sz w:val="24"/>
          <w:szCs w:val="24"/>
        </w:rPr>
        <w:t>In March and April, automotive output jumped by a combined12.5</w:t>
      </w:r>
      <w:r w:rsidRPr="006705F3">
        <w:rPr>
          <w:rFonts w:ascii="Times New Roman" w:hAnsi="Times New Roman"/>
          <w:sz w:val="24"/>
          <w:szCs w:val="24"/>
        </w:rPr>
        <w:t xml:space="preserve"> percent</w:t>
      </w:r>
      <w:r>
        <w:rPr>
          <w:rFonts w:ascii="Times New Roman" w:hAnsi="Times New Roman"/>
          <w:sz w:val="24"/>
          <w:szCs w:val="24"/>
        </w:rPr>
        <w:t xml:space="preserve"> as assemblies of autos and light trucks rebounded from 8.30 million units at an annual rate to 10.26 million units as of April 2022—just below the 10.56 million units produced in 2019 before the pandemic.  During the same period, nonautomotive manufacturing production increased by 0.9 percent,</w:t>
      </w:r>
      <w:r w:rsidRPr="00CC3883">
        <w:rPr>
          <w:rFonts w:ascii="Times New Roman" w:hAnsi="Times New Roman"/>
          <w:sz w:val="24"/>
          <w:szCs w:val="24"/>
        </w:rPr>
        <w:t xml:space="preserve"> </w:t>
      </w:r>
      <w:r>
        <w:rPr>
          <w:rFonts w:ascii="Times New Roman" w:hAnsi="Times New Roman"/>
          <w:sz w:val="24"/>
          <w:szCs w:val="24"/>
        </w:rPr>
        <w:t>with broad-based gains across non-energy industries.</w:t>
      </w:r>
    </w:p>
    <w:p w14:paraId="2B6590D5" w14:textId="77777777" w:rsidR="004943F8" w:rsidRPr="00322CF6" w:rsidRDefault="004943F8" w:rsidP="004943F8">
      <w:pPr>
        <w:pStyle w:val="NoSpacing"/>
        <w:rPr>
          <w:rFonts w:ascii="Times New Roman" w:hAnsi="Times New Roman"/>
          <w:sz w:val="24"/>
          <w:szCs w:val="24"/>
          <w:highlight w:val="yellow"/>
        </w:rPr>
      </w:pPr>
    </w:p>
    <w:p w14:paraId="7271F944" w14:textId="77777777" w:rsidR="004943F8" w:rsidRPr="008341C9" w:rsidRDefault="004943F8" w:rsidP="004943F8">
      <w:pPr>
        <w:pStyle w:val="NoSpacing"/>
        <w:rPr>
          <w:rFonts w:ascii="Times New Roman" w:hAnsi="Times New Roman"/>
          <w:sz w:val="24"/>
          <w:szCs w:val="24"/>
        </w:rPr>
      </w:pPr>
      <w:r w:rsidRPr="0095225E">
        <w:rPr>
          <w:rFonts w:ascii="Times New Roman" w:hAnsi="Times New Roman"/>
          <w:sz w:val="24"/>
          <w:szCs w:val="24"/>
        </w:rPr>
        <w:t>Output at mines, which includes crude oil and natural gas extraction and accounts for 14 percent of industrial output</w:t>
      </w:r>
      <w:r w:rsidRPr="008341C9">
        <w:rPr>
          <w:rFonts w:ascii="Times New Roman" w:hAnsi="Times New Roman"/>
          <w:sz w:val="24"/>
          <w:szCs w:val="24"/>
        </w:rPr>
        <w:t xml:space="preserve">, rose </w:t>
      </w:r>
      <w:r>
        <w:rPr>
          <w:rFonts w:ascii="Times New Roman" w:hAnsi="Times New Roman"/>
          <w:sz w:val="24"/>
          <w:szCs w:val="24"/>
        </w:rPr>
        <w:t>8.8</w:t>
      </w:r>
      <w:r w:rsidRPr="008341C9">
        <w:rPr>
          <w:rFonts w:ascii="Times New Roman" w:hAnsi="Times New Roman"/>
          <w:sz w:val="24"/>
          <w:szCs w:val="24"/>
        </w:rPr>
        <w:t xml:space="preserve"> percent </w:t>
      </w:r>
      <w:r>
        <w:rPr>
          <w:rFonts w:ascii="Times New Roman" w:hAnsi="Times New Roman"/>
          <w:sz w:val="24"/>
          <w:szCs w:val="24"/>
        </w:rPr>
        <w:t>over 2021</w:t>
      </w:r>
      <w:r w:rsidRPr="008341C9">
        <w:rPr>
          <w:rFonts w:ascii="Times New Roman" w:hAnsi="Times New Roman"/>
          <w:sz w:val="24"/>
          <w:szCs w:val="24"/>
        </w:rPr>
        <w:t xml:space="preserve">, largely due to </w:t>
      </w:r>
      <w:r>
        <w:rPr>
          <w:rFonts w:ascii="Times New Roman" w:hAnsi="Times New Roman"/>
          <w:sz w:val="24"/>
          <w:szCs w:val="24"/>
        </w:rPr>
        <w:t>a 55.0 percent jump in</w:t>
      </w:r>
      <w:r w:rsidRPr="008341C9">
        <w:rPr>
          <w:rFonts w:ascii="Times New Roman" w:hAnsi="Times New Roman"/>
          <w:sz w:val="24"/>
          <w:szCs w:val="24"/>
        </w:rPr>
        <w:t xml:space="preserve"> activity support</w:t>
      </w:r>
      <w:r>
        <w:rPr>
          <w:rFonts w:ascii="Times New Roman" w:hAnsi="Times New Roman"/>
          <w:sz w:val="24"/>
          <w:szCs w:val="24"/>
        </w:rPr>
        <w:t>ing the drilling of oil and gas wells</w:t>
      </w:r>
      <w:r w:rsidRPr="008341C9">
        <w:rPr>
          <w:rFonts w:ascii="Times New Roman" w:hAnsi="Times New Roman"/>
          <w:sz w:val="24"/>
          <w:szCs w:val="24"/>
        </w:rPr>
        <w:t>.  Mining activity is sensitive to energy prices, and the increase in energy prices in 2021 contributed to strong mining output growth</w:t>
      </w:r>
      <w:r>
        <w:rPr>
          <w:rFonts w:ascii="Times New Roman" w:hAnsi="Times New Roman"/>
          <w:sz w:val="24"/>
          <w:szCs w:val="24"/>
        </w:rPr>
        <w:t>.  More</w:t>
      </w:r>
      <w:r w:rsidRPr="008341C9">
        <w:rPr>
          <w:rFonts w:ascii="Times New Roman" w:hAnsi="Times New Roman"/>
          <w:sz w:val="24"/>
          <w:szCs w:val="24"/>
        </w:rPr>
        <w:t xml:space="preserve"> recently, monthly growth has accelerated with the spike in oil prices in connection with Russia’s illegal invasion of Ukraine.  Over the year through </w:t>
      </w:r>
      <w:r>
        <w:rPr>
          <w:rFonts w:ascii="Times New Roman" w:hAnsi="Times New Roman"/>
          <w:sz w:val="24"/>
          <w:szCs w:val="24"/>
        </w:rPr>
        <w:t>April</w:t>
      </w:r>
      <w:r w:rsidRPr="008341C9">
        <w:rPr>
          <w:rFonts w:ascii="Times New Roman" w:hAnsi="Times New Roman"/>
          <w:sz w:val="24"/>
          <w:szCs w:val="24"/>
        </w:rPr>
        <w:t xml:space="preserve"> 2021, mining output was up </w:t>
      </w:r>
      <w:r>
        <w:rPr>
          <w:rFonts w:ascii="Times New Roman" w:hAnsi="Times New Roman"/>
          <w:sz w:val="24"/>
          <w:szCs w:val="24"/>
        </w:rPr>
        <w:t>8.6</w:t>
      </w:r>
      <w:r w:rsidRPr="008341C9">
        <w:rPr>
          <w:rFonts w:ascii="Times New Roman" w:hAnsi="Times New Roman"/>
          <w:sz w:val="24"/>
          <w:szCs w:val="24"/>
        </w:rPr>
        <w:t xml:space="preserve"> percent.</w:t>
      </w:r>
    </w:p>
    <w:p w14:paraId="1974A742" w14:textId="77777777" w:rsidR="004943F8" w:rsidRPr="00322CF6" w:rsidRDefault="004943F8" w:rsidP="004943F8">
      <w:pPr>
        <w:pStyle w:val="NoSpacing"/>
        <w:rPr>
          <w:rFonts w:ascii="Times New Roman" w:hAnsi="Times New Roman"/>
          <w:sz w:val="24"/>
          <w:szCs w:val="24"/>
          <w:highlight w:val="yellow"/>
        </w:rPr>
      </w:pPr>
    </w:p>
    <w:p w14:paraId="2B4144B4" w14:textId="77777777" w:rsidR="004943F8" w:rsidRPr="00276975" w:rsidRDefault="004943F8" w:rsidP="004943F8">
      <w:pPr>
        <w:pStyle w:val="NoSpacing"/>
        <w:rPr>
          <w:rFonts w:ascii="Times New Roman" w:hAnsi="Times New Roman"/>
          <w:sz w:val="24"/>
          <w:szCs w:val="24"/>
        </w:rPr>
      </w:pPr>
      <w:r w:rsidRPr="00276975">
        <w:rPr>
          <w:rFonts w:ascii="Times New Roman" w:hAnsi="Times New Roman"/>
          <w:sz w:val="24"/>
          <w:szCs w:val="24"/>
        </w:rPr>
        <w:t xml:space="preserve">Utilities output, the remaining 12 percent of total industrial output, was up </w:t>
      </w:r>
      <w:r>
        <w:rPr>
          <w:rFonts w:ascii="Times New Roman" w:hAnsi="Times New Roman"/>
          <w:sz w:val="24"/>
          <w:szCs w:val="24"/>
        </w:rPr>
        <w:t>2.1</w:t>
      </w:r>
      <w:r w:rsidRPr="00276975">
        <w:rPr>
          <w:rFonts w:ascii="Times New Roman" w:hAnsi="Times New Roman"/>
          <w:sz w:val="24"/>
          <w:szCs w:val="24"/>
        </w:rPr>
        <w:t xml:space="preserve"> percent in </w:t>
      </w:r>
      <w:r>
        <w:rPr>
          <w:rFonts w:ascii="Times New Roman" w:hAnsi="Times New Roman"/>
          <w:sz w:val="24"/>
          <w:szCs w:val="24"/>
        </w:rPr>
        <w:t>April due to</w:t>
      </w:r>
      <w:r w:rsidRPr="00276975">
        <w:rPr>
          <w:rFonts w:ascii="Times New Roman" w:hAnsi="Times New Roman"/>
          <w:sz w:val="24"/>
          <w:szCs w:val="24"/>
        </w:rPr>
        <w:t xml:space="preserve"> unusually cold weather </w:t>
      </w:r>
      <w:r>
        <w:rPr>
          <w:rFonts w:ascii="Times New Roman" w:hAnsi="Times New Roman"/>
          <w:sz w:val="24"/>
          <w:szCs w:val="24"/>
        </w:rPr>
        <w:t>in the month</w:t>
      </w:r>
      <w:r w:rsidRPr="00276975">
        <w:rPr>
          <w:rFonts w:ascii="Times New Roman" w:hAnsi="Times New Roman"/>
          <w:sz w:val="24"/>
          <w:szCs w:val="24"/>
        </w:rPr>
        <w:t xml:space="preserve">.  Weather is usually a factor contributing to swings in this sector; unseasonable weather in months often causes sharp swings in output from one month to the next.  Over the 12 months through </w:t>
      </w:r>
      <w:r>
        <w:rPr>
          <w:rFonts w:ascii="Times New Roman" w:hAnsi="Times New Roman"/>
          <w:sz w:val="24"/>
          <w:szCs w:val="24"/>
        </w:rPr>
        <w:t>April</w:t>
      </w:r>
      <w:r w:rsidRPr="00276975">
        <w:rPr>
          <w:rFonts w:ascii="Times New Roman" w:hAnsi="Times New Roman"/>
          <w:sz w:val="24"/>
          <w:szCs w:val="24"/>
        </w:rPr>
        <w:t xml:space="preserve">, utilities production was up </w:t>
      </w:r>
      <w:r>
        <w:rPr>
          <w:rFonts w:ascii="Times New Roman" w:hAnsi="Times New Roman"/>
          <w:sz w:val="24"/>
          <w:szCs w:val="24"/>
        </w:rPr>
        <w:t>8.9</w:t>
      </w:r>
      <w:r w:rsidRPr="00276975">
        <w:rPr>
          <w:rFonts w:ascii="Times New Roman" w:hAnsi="Times New Roman"/>
          <w:sz w:val="24"/>
          <w:szCs w:val="24"/>
        </w:rPr>
        <w:t xml:space="preserve"> percent.</w:t>
      </w:r>
    </w:p>
    <w:p w14:paraId="01F569F0" w14:textId="77777777" w:rsidR="004943F8" w:rsidRPr="00322CF6" w:rsidRDefault="004943F8" w:rsidP="004943F8">
      <w:pPr>
        <w:pStyle w:val="NoSpacing"/>
        <w:rPr>
          <w:rFonts w:ascii="Times New Roman" w:hAnsi="Times New Roman"/>
          <w:color w:val="000000"/>
          <w:sz w:val="24"/>
          <w:szCs w:val="24"/>
          <w:highlight w:val="yellow"/>
        </w:rPr>
      </w:pPr>
    </w:p>
    <w:p w14:paraId="3EEDC6AC" w14:textId="77777777" w:rsidR="004943F8" w:rsidRPr="006122FC" w:rsidRDefault="004943F8" w:rsidP="004943F8">
      <w:pPr>
        <w:pStyle w:val="NoSpacing"/>
        <w:rPr>
          <w:rFonts w:ascii="Times New Roman" w:hAnsi="Times New Roman"/>
          <w:color w:val="000000"/>
          <w:sz w:val="24"/>
          <w:szCs w:val="24"/>
        </w:rPr>
      </w:pPr>
      <w:r w:rsidRPr="00C66A94">
        <w:rPr>
          <w:rFonts w:ascii="Times New Roman" w:hAnsi="Times New Roman"/>
          <w:color w:val="000000"/>
          <w:sz w:val="24"/>
          <w:szCs w:val="24"/>
        </w:rPr>
        <w:t xml:space="preserve">Measures of manufacturing and services business activity in the economy have recovered since summer 2020 and have signaled expansion </w:t>
      </w:r>
      <w:r>
        <w:rPr>
          <w:rFonts w:ascii="Times New Roman" w:hAnsi="Times New Roman"/>
          <w:color w:val="000000"/>
          <w:sz w:val="24"/>
          <w:szCs w:val="24"/>
        </w:rPr>
        <w:t>ever since.  Although ISM manufacturing index has trended lower since October 2021, it stood at 55.4 in April 2022, signaling expansion for the twenty-third consecutive month</w:t>
      </w:r>
      <w:r w:rsidRPr="006122FC">
        <w:rPr>
          <w:rFonts w:ascii="Times New Roman" w:hAnsi="Times New Roman"/>
          <w:color w:val="000000"/>
          <w:sz w:val="24"/>
          <w:szCs w:val="24"/>
        </w:rPr>
        <w:t xml:space="preserve">.  Similarly, the ISM’s services index rose to 68.4 in November 2021, an all-time high (series dates from July 1997), then declined in each of the subsequent five months, standing at 57.1 in April.  The services index </w:t>
      </w:r>
      <w:r>
        <w:rPr>
          <w:rFonts w:ascii="Times New Roman" w:hAnsi="Times New Roman"/>
          <w:color w:val="000000"/>
          <w:sz w:val="24"/>
          <w:szCs w:val="24"/>
        </w:rPr>
        <w:t xml:space="preserve">also </w:t>
      </w:r>
      <w:r w:rsidRPr="006122FC">
        <w:rPr>
          <w:rFonts w:ascii="Times New Roman" w:hAnsi="Times New Roman"/>
          <w:color w:val="000000"/>
          <w:sz w:val="24"/>
          <w:szCs w:val="24"/>
        </w:rPr>
        <w:t>has signaled expansion for twenty-three consecutive months.</w:t>
      </w:r>
    </w:p>
    <w:p w14:paraId="02744225" w14:textId="77777777" w:rsidR="000C6D54" w:rsidRPr="00322CF6" w:rsidRDefault="000C6D54" w:rsidP="000C6D54">
      <w:pPr>
        <w:pStyle w:val="NoSpacing"/>
        <w:rPr>
          <w:rFonts w:ascii="Times New Roman" w:hAnsi="Times New Roman"/>
          <w:color w:val="000000"/>
          <w:sz w:val="24"/>
          <w:szCs w:val="24"/>
          <w:highlight w:val="yellow"/>
        </w:rPr>
      </w:pPr>
    </w:p>
    <w:p w14:paraId="411A364B" w14:textId="77777777" w:rsidR="000C6D54" w:rsidRPr="00322CF6" w:rsidRDefault="000C6D54" w:rsidP="000C6D54">
      <w:pPr>
        <w:pStyle w:val="NoSpacing"/>
        <w:rPr>
          <w:rFonts w:ascii="Times New Roman" w:hAnsi="Times New Roman"/>
          <w:color w:val="000000"/>
          <w:sz w:val="24"/>
          <w:szCs w:val="24"/>
          <w:highlight w:val="yellow"/>
        </w:rPr>
      </w:pPr>
    </w:p>
    <w:p w14:paraId="25A1C593" w14:textId="77777777" w:rsidR="000C6D54" w:rsidRPr="007F1738" w:rsidRDefault="000C6D54" w:rsidP="000C6D54">
      <w:pPr>
        <w:rPr>
          <w:rFonts w:ascii="Times New Roman" w:hAnsi="Times New Roman"/>
          <w:b/>
          <w:bCs/>
          <w:sz w:val="24"/>
          <w:szCs w:val="24"/>
        </w:rPr>
      </w:pPr>
      <w:r w:rsidRPr="007F1738">
        <w:rPr>
          <w:rFonts w:ascii="Times New Roman" w:hAnsi="Times New Roman"/>
          <w:b/>
          <w:bCs/>
          <w:sz w:val="24"/>
          <w:szCs w:val="24"/>
        </w:rPr>
        <w:t>Housing Markets</w:t>
      </w:r>
    </w:p>
    <w:p w14:paraId="70606D1B" w14:textId="77777777" w:rsidR="004943F8" w:rsidRPr="00C8036F" w:rsidRDefault="004943F8" w:rsidP="004943F8">
      <w:pPr>
        <w:spacing w:after="0" w:line="240" w:lineRule="auto"/>
        <w:rPr>
          <w:rFonts w:ascii="Times New Roman" w:hAnsi="Times New Roman"/>
          <w:color w:val="000000"/>
          <w:sz w:val="24"/>
          <w:szCs w:val="24"/>
        </w:rPr>
      </w:pPr>
      <w:r w:rsidRPr="0089530C">
        <w:rPr>
          <w:rFonts w:ascii="Times New Roman" w:hAnsi="Times New Roman"/>
          <w:sz w:val="24"/>
          <w:szCs w:val="24"/>
        </w:rPr>
        <w:t xml:space="preserve">Throughout 2021, housing markets were marked by an imbalance between supply and demand, </w:t>
      </w:r>
      <w:r w:rsidRPr="0089530C">
        <w:rPr>
          <w:rFonts w:ascii="Times New Roman" w:hAnsi="Times New Roman"/>
          <w:color w:val="000000"/>
          <w:sz w:val="24"/>
          <w:szCs w:val="24"/>
        </w:rPr>
        <w:t xml:space="preserve">driving rapid home price growth and eroding affordability.  This imbalance has persisted in </w:t>
      </w:r>
      <w:r w:rsidRPr="0089530C">
        <w:rPr>
          <w:rFonts w:ascii="Times New Roman" w:hAnsi="Times New Roman"/>
          <w:color w:val="000000"/>
          <w:sz w:val="24"/>
          <w:szCs w:val="24"/>
        </w:rPr>
        <w:lastRenderedPageBreak/>
        <w:t xml:space="preserve">2022, further </w:t>
      </w:r>
      <w:r>
        <w:rPr>
          <w:rFonts w:ascii="Times New Roman" w:hAnsi="Times New Roman"/>
          <w:color w:val="000000"/>
          <w:sz w:val="24"/>
          <w:szCs w:val="24"/>
        </w:rPr>
        <w:t xml:space="preserve">driving up </w:t>
      </w:r>
      <w:r w:rsidRPr="0089530C">
        <w:rPr>
          <w:rFonts w:ascii="Times New Roman" w:hAnsi="Times New Roman"/>
          <w:color w:val="000000"/>
          <w:sz w:val="24"/>
          <w:szCs w:val="24"/>
        </w:rPr>
        <w:t>home prices.  The Case-Shiller national house price index—which measures sales prices of existing homes</w:t>
      </w:r>
      <w:r w:rsidRPr="00C8036F">
        <w:rPr>
          <w:rFonts w:ascii="Times New Roman" w:hAnsi="Times New Roman"/>
          <w:color w:val="000000"/>
          <w:sz w:val="24"/>
          <w:szCs w:val="24"/>
        </w:rPr>
        <w:t>—was up 20.2 percent over the year ending in February 2022, a sharp acceleration from the 12.1 percent and 3.5 percent rates seen in February 2021 and February 2020, respectively.  The FHFA house price index rose 19.5 percent over the year ending in February 2022 and showed comparable accelerations over the previous two years.  Moreover, in each of the past ten months, year-over-year increases in both indices have run between 17 percent and 20 percent.</w:t>
      </w:r>
    </w:p>
    <w:p w14:paraId="3E469E7E" w14:textId="77777777" w:rsidR="004943F8" w:rsidRPr="00322CF6" w:rsidRDefault="004943F8" w:rsidP="004943F8">
      <w:pPr>
        <w:spacing w:after="0" w:line="240" w:lineRule="auto"/>
        <w:rPr>
          <w:rFonts w:ascii="Times New Roman" w:hAnsi="Times New Roman"/>
          <w:color w:val="000000"/>
          <w:sz w:val="24"/>
          <w:szCs w:val="24"/>
          <w:highlight w:val="yellow"/>
        </w:rPr>
      </w:pPr>
    </w:p>
    <w:p w14:paraId="363B2104" w14:textId="77777777" w:rsidR="004943F8" w:rsidRDefault="004943F8" w:rsidP="004943F8">
      <w:pPr>
        <w:spacing w:after="0" w:line="240" w:lineRule="auto"/>
        <w:rPr>
          <w:rFonts w:ascii="Times New Roman" w:hAnsi="Times New Roman"/>
          <w:color w:val="000000"/>
          <w:sz w:val="24"/>
          <w:szCs w:val="24"/>
        </w:rPr>
      </w:pPr>
      <w:r w:rsidRPr="005D0A26">
        <w:rPr>
          <w:rFonts w:ascii="Times New Roman" w:hAnsi="Times New Roman"/>
          <w:color w:val="000000"/>
          <w:sz w:val="24"/>
          <w:szCs w:val="24"/>
        </w:rPr>
        <w:t xml:space="preserve">Last fall, single-family housing starts rose by a combined </w:t>
      </w:r>
      <w:r>
        <w:rPr>
          <w:rFonts w:ascii="Times New Roman" w:hAnsi="Times New Roman"/>
          <w:color w:val="000000"/>
          <w:sz w:val="24"/>
          <w:szCs w:val="24"/>
        </w:rPr>
        <w:t>10</w:t>
      </w:r>
      <w:r w:rsidRPr="005D0A26">
        <w:rPr>
          <w:rFonts w:ascii="Times New Roman" w:hAnsi="Times New Roman"/>
          <w:color w:val="000000"/>
          <w:sz w:val="24"/>
          <w:szCs w:val="24"/>
        </w:rPr>
        <w:t xml:space="preserve">.8 percent from September to December 2021, while single- family housing permits, which signal </w:t>
      </w:r>
      <w:r w:rsidRPr="005D0A26">
        <w:rPr>
          <w:rFonts w:ascii="Times New Roman" w:hAnsi="Times New Roman"/>
          <w:i/>
          <w:iCs/>
          <w:color w:val="000000"/>
          <w:sz w:val="24"/>
          <w:szCs w:val="24"/>
        </w:rPr>
        <w:t>future</w:t>
      </w:r>
      <w:r w:rsidRPr="005D0A26">
        <w:rPr>
          <w:rFonts w:ascii="Times New Roman" w:hAnsi="Times New Roman"/>
          <w:color w:val="000000"/>
          <w:sz w:val="24"/>
          <w:szCs w:val="24"/>
        </w:rPr>
        <w:t xml:space="preserve"> starts, increased </w:t>
      </w:r>
      <w:r>
        <w:rPr>
          <w:rFonts w:ascii="Times New Roman" w:hAnsi="Times New Roman"/>
          <w:color w:val="000000"/>
          <w:sz w:val="24"/>
          <w:szCs w:val="24"/>
        </w:rPr>
        <w:t>6.1</w:t>
      </w:r>
      <w:r w:rsidRPr="005D0A26">
        <w:rPr>
          <w:rFonts w:ascii="Times New Roman" w:hAnsi="Times New Roman"/>
          <w:color w:val="000000"/>
          <w:sz w:val="24"/>
          <w:szCs w:val="24"/>
        </w:rPr>
        <w:t>percent over that same period.</w:t>
      </w:r>
    </w:p>
    <w:p w14:paraId="156E56BF" w14:textId="77777777" w:rsidR="004943F8" w:rsidRDefault="004943F8" w:rsidP="004943F8">
      <w:pPr>
        <w:spacing w:after="0" w:line="240" w:lineRule="auto"/>
        <w:rPr>
          <w:rFonts w:ascii="Times New Roman" w:hAnsi="Times New Roman"/>
          <w:color w:val="000000"/>
          <w:sz w:val="24"/>
          <w:szCs w:val="24"/>
        </w:rPr>
      </w:pPr>
    </w:p>
    <w:p w14:paraId="45028B05" w14:textId="77777777" w:rsidR="004943F8" w:rsidRPr="005D0A26" w:rsidRDefault="004943F8" w:rsidP="004943F8">
      <w:pPr>
        <w:spacing w:after="0" w:line="240" w:lineRule="auto"/>
        <w:rPr>
          <w:rFonts w:ascii="Times New Roman" w:hAnsi="Times New Roman"/>
          <w:color w:val="000000"/>
          <w:sz w:val="24"/>
          <w:szCs w:val="24"/>
          <w:highlight w:val="yellow"/>
        </w:rPr>
      </w:pPr>
      <w:r w:rsidRPr="005D0A26">
        <w:rPr>
          <w:rFonts w:ascii="Times New Roman" w:hAnsi="Times New Roman"/>
          <w:color w:val="000000"/>
          <w:sz w:val="24"/>
          <w:szCs w:val="24"/>
        </w:rPr>
        <w:t xml:space="preserve">During the first four months of this year, however, activity has </w:t>
      </w:r>
      <w:r>
        <w:rPr>
          <w:rFonts w:ascii="Times New Roman" w:hAnsi="Times New Roman"/>
          <w:color w:val="000000"/>
          <w:sz w:val="24"/>
          <w:szCs w:val="24"/>
        </w:rPr>
        <w:t>contracted</w:t>
      </w:r>
      <w:r w:rsidRPr="005D0A26">
        <w:rPr>
          <w:rFonts w:ascii="Times New Roman" w:hAnsi="Times New Roman"/>
          <w:color w:val="000000"/>
          <w:sz w:val="24"/>
          <w:szCs w:val="24"/>
        </w:rPr>
        <w:t xml:space="preserve">: single-family housing starts declined a combined </w:t>
      </w:r>
      <w:r>
        <w:rPr>
          <w:rFonts w:ascii="Times New Roman" w:hAnsi="Times New Roman"/>
          <w:color w:val="000000"/>
          <w:sz w:val="24"/>
          <w:szCs w:val="24"/>
        </w:rPr>
        <w:t>4.9</w:t>
      </w:r>
      <w:r w:rsidRPr="005D0A26">
        <w:rPr>
          <w:rFonts w:ascii="Times New Roman" w:hAnsi="Times New Roman"/>
          <w:color w:val="000000"/>
          <w:sz w:val="24"/>
          <w:szCs w:val="24"/>
        </w:rPr>
        <w:t xml:space="preserve"> percent from January to April 2022.  After jumping 7.</w:t>
      </w:r>
      <w:r>
        <w:rPr>
          <w:rFonts w:ascii="Times New Roman" w:hAnsi="Times New Roman"/>
          <w:color w:val="000000"/>
          <w:sz w:val="24"/>
          <w:szCs w:val="24"/>
        </w:rPr>
        <w:t>1</w:t>
      </w:r>
      <w:r w:rsidRPr="005D0A26">
        <w:rPr>
          <w:rFonts w:ascii="Times New Roman" w:hAnsi="Times New Roman"/>
          <w:color w:val="000000"/>
          <w:sz w:val="24"/>
          <w:szCs w:val="24"/>
        </w:rPr>
        <w:t xml:space="preserve"> percent in January 2022, single-family permits </w:t>
      </w:r>
      <w:r>
        <w:rPr>
          <w:rFonts w:ascii="Times New Roman" w:hAnsi="Times New Roman"/>
          <w:color w:val="000000"/>
          <w:sz w:val="24"/>
          <w:szCs w:val="24"/>
        </w:rPr>
        <w:t xml:space="preserve">also </w:t>
      </w:r>
      <w:r w:rsidRPr="005D0A26">
        <w:rPr>
          <w:rFonts w:ascii="Times New Roman" w:hAnsi="Times New Roman"/>
          <w:color w:val="000000"/>
          <w:sz w:val="24"/>
          <w:szCs w:val="24"/>
        </w:rPr>
        <w:t>trended lower and</w:t>
      </w:r>
      <w:r>
        <w:rPr>
          <w:rFonts w:ascii="Times New Roman" w:hAnsi="Times New Roman"/>
          <w:color w:val="000000"/>
          <w:sz w:val="24"/>
          <w:szCs w:val="24"/>
        </w:rPr>
        <w:t>,</w:t>
      </w:r>
      <w:r w:rsidRPr="005D0A26">
        <w:rPr>
          <w:rFonts w:ascii="Times New Roman" w:hAnsi="Times New Roman"/>
          <w:color w:val="000000"/>
          <w:sz w:val="24"/>
          <w:szCs w:val="24"/>
        </w:rPr>
        <w:t xml:space="preserve"> in March and April 2022, fell by a combined </w:t>
      </w:r>
      <w:r>
        <w:rPr>
          <w:rFonts w:ascii="Times New Roman" w:hAnsi="Times New Roman"/>
          <w:color w:val="000000"/>
          <w:sz w:val="24"/>
          <w:szCs w:val="24"/>
        </w:rPr>
        <w:t>7.9</w:t>
      </w:r>
      <w:r w:rsidRPr="005D0A26">
        <w:rPr>
          <w:rFonts w:ascii="Times New Roman" w:hAnsi="Times New Roman"/>
          <w:color w:val="000000"/>
          <w:sz w:val="24"/>
          <w:szCs w:val="24"/>
        </w:rPr>
        <w:t xml:space="preserve"> percent</w:t>
      </w:r>
      <w:r>
        <w:rPr>
          <w:rFonts w:ascii="Times New Roman" w:hAnsi="Times New Roman"/>
          <w:color w:val="000000"/>
          <w:sz w:val="24"/>
          <w:szCs w:val="24"/>
        </w:rPr>
        <w:t>.  Even so, single-family starts were</w:t>
      </w:r>
      <w:r w:rsidRPr="005D0A26">
        <w:rPr>
          <w:rFonts w:ascii="Times New Roman" w:hAnsi="Times New Roman"/>
          <w:color w:val="000000"/>
          <w:sz w:val="24"/>
          <w:szCs w:val="24"/>
        </w:rPr>
        <w:t xml:space="preserve"> </w:t>
      </w:r>
      <w:r>
        <w:rPr>
          <w:rFonts w:ascii="Times New Roman" w:hAnsi="Times New Roman"/>
          <w:color w:val="000000"/>
          <w:sz w:val="24"/>
          <w:szCs w:val="24"/>
        </w:rPr>
        <w:t>3</w:t>
      </w:r>
      <w:r w:rsidRPr="005D0A26">
        <w:rPr>
          <w:rFonts w:ascii="Times New Roman" w:hAnsi="Times New Roman"/>
          <w:color w:val="000000"/>
          <w:sz w:val="24"/>
          <w:szCs w:val="24"/>
        </w:rPr>
        <w:t xml:space="preserve">.7 percent </w:t>
      </w:r>
      <w:proofErr w:type="spellStart"/>
      <w:r>
        <w:rPr>
          <w:rFonts w:ascii="Times New Roman" w:hAnsi="Times New Roman"/>
          <w:color w:val="000000"/>
          <w:sz w:val="24"/>
          <w:szCs w:val="24"/>
        </w:rPr>
        <w:t>higherover</w:t>
      </w:r>
      <w:proofErr w:type="spellEnd"/>
      <w:r>
        <w:rPr>
          <w:rFonts w:ascii="Times New Roman" w:hAnsi="Times New Roman"/>
          <w:color w:val="000000"/>
          <w:sz w:val="24"/>
          <w:szCs w:val="24"/>
        </w:rPr>
        <w:t xml:space="preserve"> the</w:t>
      </w:r>
      <w:r w:rsidRPr="005D0A26">
        <w:rPr>
          <w:rFonts w:ascii="Times New Roman" w:hAnsi="Times New Roman"/>
          <w:color w:val="000000"/>
          <w:sz w:val="24"/>
          <w:szCs w:val="24"/>
        </w:rPr>
        <w:t xml:space="preserve"> year through </w:t>
      </w:r>
      <w:proofErr w:type="gramStart"/>
      <w:r w:rsidRPr="005D0A26">
        <w:rPr>
          <w:rFonts w:ascii="Times New Roman" w:hAnsi="Times New Roman"/>
          <w:color w:val="000000"/>
          <w:sz w:val="24"/>
          <w:szCs w:val="24"/>
        </w:rPr>
        <w:t>April</w:t>
      </w:r>
      <w:proofErr w:type="gramEnd"/>
      <w:r>
        <w:rPr>
          <w:rFonts w:ascii="Times New Roman" w:hAnsi="Times New Roman"/>
          <w:color w:val="000000"/>
          <w:sz w:val="24"/>
          <w:szCs w:val="24"/>
        </w:rPr>
        <w:t xml:space="preserve"> but permits were down 3.7 percent</w:t>
      </w:r>
      <w:r w:rsidRPr="005D0A26">
        <w:rPr>
          <w:rFonts w:ascii="Times New Roman" w:hAnsi="Times New Roman"/>
          <w:color w:val="000000"/>
          <w:sz w:val="24"/>
          <w:szCs w:val="24"/>
        </w:rPr>
        <w:t>.  Home builder sentiment has also deteriorated</w:t>
      </w:r>
      <w:r>
        <w:rPr>
          <w:rFonts w:ascii="Times New Roman" w:hAnsi="Times New Roman"/>
          <w:color w:val="000000"/>
          <w:sz w:val="24"/>
          <w:szCs w:val="24"/>
        </w:rPr>
        <w:t xml:space="preserve"> so far this year: a</w:t>
      </w:r>
      <w:r w:rsidRPr="00BE0449">
        <w:rPr>
          <w:rFonts w:ascii="Times New Roman" w:hAnsi="Times New Roman"/>
          <w:color w:val="000000"/>
          <w:sz w:val="24"/>
          <w:szCs w:val="24"/>
        </w:rPr>
        <w:t>fter</w:t>
      </w:r>
      <w:r w:rsidRPr="003743B7">
        <w:rPr>
          <w:rFonts w:ascii="Times New Roman" w:hAnsi="Times New Roman"/>
          <w:color w:val="000000"/>
          <w:sz w:val="24"/>
          <w:szCs w:val="24"/>
        </w:rPr>
        <w:t xml:space="preserve"> rising during the </w:t>
      </w:r>
      <w:r>
        <w:rPr>
          <w:rFonts w:ascii="Times New Roman" w:hAnsi="Times New Roman"/>
          <w:color w:val="000000"/>
          <w:sz w:val="24"/>
          <w:szCs w:val="24"/>
        </w:rPr>
        <w:t>final</w:t>
      </w:r>
      <w:r w:rsidRPr="003743B7">
        <w:rPr>
          <w:rFonts w:ascii="Times New Roman" w:hAnsi="Times New Roman"/>
          <w:color w:val="000000"/>
          <w:sz w:val="24"/>
          <w:szCs w:val="24"/>
        </w:rPr>
        <w:t xml:space="preserve"> four months of 2021, the National Association of Home Builder’s confidence index has declined </w:t>
      </w:r>
      <w:r>
        <w:rPr>
          <w:rFonts w:ascii="Times New Roman" w:hAnsi="Times New Roman"/>
          <w:color w:val="000000"/>
          <w:sz w:val="24"/>
          <w:szCs w:val="24"/>
        </w:rPr>
        <w:t xml:space="preserve">during the first four months of 2022, dropping to </w:t>
      </w:r>
      <w:r w:rsidRPr="003743B7">
        <w:rPr>
          <w:rFonts w:ascii="Times New Roman" w:hAnsi="Times New Roman"/>
          <w:color w:val="000000"/>
          <w:sz w:val="24"/>
          <w:szCs w:val="24"/>
        </w:rPr>
        <w:t xml:space="preserve">77 in April 2022, 13 points below the </w:t>
      </w:r>
      <w:r>
        <w:rPr>
          <w:rFonts w:ascii="Times New Roman" w:hAnsi="Times New Roman"/>
          <w:color w:val="000000"/>
          <w:sz w:val="24"/>
          <w:szCs w:val="24"/>
        </w:rPr>
        <w:t>series’</w:t>
      </w:r>
      <w:r w:rsidRPr="003743B7">
        <w:rPr>
          <w:rFonts w:ascii="Times New Roman" w:hAnsi="Times New Roman"/>
          <w:color w:val="000000"/>
          <w:sz w:val="24"/>
          <w:szCs w:val="24"/>
        </w:rPr>
        <w:t xml:space="preserve"> high of 90 reached in November 2020.</w:t>
      </w:r>
      <w:r>
        <w:rPr>
          <w:rFonts w:ascii="Times New Roman" w:hAnsi="Times New Roman"/>
          <w:color w:val="000000"/>
          <w:sz w:val="24"/>
          <w:szCs w:val="24"/>
        </w:rPr>
        <w:t xml:space="preserve">  On the other hand, single-family units under construction </w:t>
      </w:r>
      <w:proofErr w:type="gramStart"/>
      <w:r>
        <w:rPr>
          <w:rFonts w:ascii="Times New Roman" w:hAnsi="Times New Roman"/>
          <w:color w:val="000000"/>
          <w:sz w:val="24"/>
          <w:szCs w:val="24"/>
        </w:rPr>
        <w:t>has</w:t>
      </w:r>
      <w:proofErr w:type="gramEnd"/>
      <w:r>
        <w:rPr>
          <w:rFonts w:ascii="Times New Roman" w:hAnsi="Times New Roman"/>
          <w:color w:val="000000"/>
          <w:sz w:val="24"/>
          <w:szCs w:val="24"/>
        </w:rPr>
        <w:t xml:space="preserve"> risen to a 15-year high of 815,000—suggesting an increase in forthcoming housing supply in this segment of the market—while </w:t>
      </w:r>
      <w:r w:rsidRPr="005D1042">
        <w:rPr>
          <w:rFonts w:ascii="Times New Roman" w:hAnsi="Times New Roman"/>
          <w:color w:val="000000"/>
          <w:sz w:val="24"/>
          <w:szCs w:val="24"/>
        </w:rPr>
        <w:t>the number of new housing units that have been authorized, but not yet started (i.e., the backlog of new construction) continued its upward trend, hitting a fresh all-time high of 28</w:t>
      </w:r>
      <w:r>
        <w:rPr>
          <w:rFonts w:ascii="Times New Roman" w:hAnsi="Times New Roman"/>
          <w:color w:val="000000"/>
          <w:sz w:val="24"/>
          <w:szCs w:val="24"/>
        </w:rPr>
        <w:t>8</w:t>
      </w:r>
      <w:r w:rsidRPr="005D1042">
        <w:rPr>
          <w:rFonts w:ascii="Times New Roman" w:hAnsi="Times New Roman"/>
          <w:color w:val="000000"/>
          <w:sz w:val="24"/>
          <w:szCs w:val="24"/>
        </w:rPr>
        <w:t xml:space="preserve">,000 units (data begin in 1999). </w:t>
      </w:r>
    </w:p>
    <w:p w14:paraId="0D9C0A0C" w14:textId="77777777" w:rsidR="004943F8" w:rsidRDefault="004943F8" w:rsidP="004943F8">
      <w:pPr>
        <w:spacing w:after="0" w:line="240" w:lineRule="auto"/>
        <w:rPr>
          <w:rFonts w:ascii="Times New Roman" w:hAnsi="Times New Roman"/>
          <w:color w:val="000000"/>
          <w:sz w:val="24"/>
          <w:szCs w:val="24"/>
          <w:highlight w:val="yellow"/>
        </w:rPr>
      </w:pPr>
    </w:p>
    <w:p w14:paraId="363A2FEC" w14:textId="77777777" w:rsidR="004943F8" w:rsidRDefault="004943F8" w:rsidP="004943F8">
      <w:pPr>
        <w:pStyle w:val="Header"/>
        <w:widowControl/>
        <w:tabs>
          <w:tab w:val="left" w:pos="720"/>
        </w:tabs>
        <w:rPr>
          <w:color w:val="000000"/>
          <w:szCs w:val="24"/>
        </w:rPr>
      </w:pPr>
      <w:r w:rsidRPr="004D1140">
        <w:rPr>
          <w:color w:val="000000"/>
          <w:szCs w:val="24"/>
        </w:rPr>
        <w:t>Sales of home</w:t>
      </w:r>
      <w:r>
        <w:rPr>
          <w:color w:val="000000"/>
          <w:szCs w:val="24"/>
        </w:rPr>
        <w:t>s</w:t>
      </w:r>
      <w:r w:rsidRPr="004D1140">
        <w:rPr>
          <w:color w:val="000000"/>
          <w:szCs w:val="24"/>
        </w:rPr>
        <w:t xml:space="preserve"> continued to trend lower during the first </w:t>
      </w:r>
      <w:r>
        <w:rPr>
          <w:color w:val="000000"/>
          <w:szCs w:val="24"/>
        </w:rPr>
        <w:t>four months</w:t>
      </w:r>
      <w:r w:rsidRPr="004D1140">
        <w:rPr>
          <w:color w:val="000000"/>
          <w:szCs w:val="24"/>
        </w:rPr>
        <w:t xml:space="preserve"> of 2022.  In </w:t>
      </w:r>
      <w:r>
        <w:rPr>
          <w:color w:val="000000"/>
          <w:szCs w:val="24"/>
        </w:rPr>
        <w:t>April</w:t>
      </w:r>
      <w:r w:rsidRPr="004D1140">
        <w:rPr>
          <w:color w:val="000000"/>
          <w:szCs w:val="24"/>
        </w:rPr>
        <w:t xml:space="preserve">, </w:t>
      </w:r>
      <w:r>
        <w:rPr>
          <w:color w:val="000000"/>
          <w:szCs w:val="24"/>
        </w:rPr>
        <w:t xml:space="preserve">total </w:t>
      </w:r>
      <w:r w:rsidRPr="004D1140">
        <w:rPr>
          <w:color w:val="000000"/>
          <w:szCs w:val="24"/>
        </w:rPr>
        <w:t>existing home sales—which account for 90 percent of all home sales—</w:t>
      </w:r>
      <w:r w:rsidRPr="005E6F3E">
        <w:rPr>
          <w:color w:val="000000"/>
        </w:rPr>
        <w:t>declined 2.</w:t>
      </w:r>
      <w:r w:rsidRPr="00592736">
        <w:rPr>
          <w:color w:val="000000"/>
          <w:szCs w:val="24"/>
        </w:rPr>
        <w:t>4</w:t>
      </w:r>
      <w:r w:rsidRPr="005E6F3E">
        <w:rPr>
          <w:color w:val="000000"/>
        </w:rPr>
        <w:t xml:space="preserve"> percent over the month and were down 5</w:t>
      </w:r>
      <w:r w:rsidRPr="00592736">
        <w:rPr>
          <w:color w:val="000000"/>
          <w:szCs w:val="24"/>
        </w:rPr>
        <w:t>.9</w:t>
      </w:r>
      <w:r w:rsidRPr="005E6F3E">
        <w:rPr>
          <w:color w:val="000000"/>
        </w:rPr>
        <w:t xml:space="preserve"> percent over the year.</w:t>
      </w:r>
      <w:r w:rsidRPr="004D1140">
        <w:rPr>
          <w:color w:val="000000"/>
          <w:szCs w:val="24"/>
        </w:rPr>
        <w:t xml:space="preserve">  </w:t>
      </w:r>
      <w:r>
        <w:rPr>
          <w:color w:val="000000"/>
          <w:szCs w:val="24"/>
        </w:rPr>
        <w:t xml:space="preserve">After jumping by double-digit rates last November and December, </w:t>
      </w:r>
      <w:r w:rsidRPr="00EA6F86">
        <w:rPr>
          <w:color w:val="000000"/>
          <w:szCs w:val="24"/>
        </w:rPr>
        <w:t>new single-family home sales have declined in each month of the first quarter, falling by 8.6 percent in March</w:t>
      </w:r>
      <w:r>
        <w:rPr>
          <w:color w:val="000000"/>
          <w:szCs w:val="24"/>
        </w:rPr>
        <w:t xml:space="preserve"> (last available data as of May 19)</w:t>
      </w:r>
      <w:r w:rsidRPr="00EA6F86">
        <w:rPr>
          <w:color w:val="000000"/>
          <w:szCs w:val="24"/>
        </w:rPr>
        <w:t xml:space="preserve">.  </w:t>
      </w:r>
      <w:r>
        <w:rPr>
          <w:color w:val="000000"/>
          <w:szCs w:val="24"/>
        </w:rPr>
        <w:t xml:space="preserve">The decline in both existing and new sales has contributed to an increase in inventories of home for sale, which is slowly bringing the housing markets back into balance.  </w:t>
      </w:r>
      <w:r w:rsidRPr="005E6F3E">
        <w:rPr>
          <w:color w:val="000000"/>
        </w:rPr>
        <w:t xml:space="preserve">After reaching an all-time low last December, existing home inventories rose </w:t>
      </w:r>
      <w:r w:rsidRPr="00592736">
        <w:rPr>
          <w:color w:val="000000"/>
          <w:szCs w:val="24"/>
        </w:rPr>
        <w:t xml:space="preserve">steadily during the first four months of 2022 </w:t>
      </w:r>
      <w:r w:rsidRPr="005E6F3E">
        <w:rPr>
          <w:color w:val="000000"/>
        </w:rPr>
        <w:t xml:space="preserve">to a </w:t>
      </w:r>
      <w:proofErr w:type="gramStart"/>
      <w:r w:rsidRPr="005E6F3E">
        <w:rPr>
          <w:color w:val="000000"/>
        </w:rPr>
        <w:t>still-low</w:t>
      </w:r>
      <w:proofErr w:type="gramEnd"/>
      <w:r w:rsidRPr="005E6F3E">
        <w:rPr>
          <w:color w:val="000000"/>
        </w:rPr>
        <w:t xml:space="preserve"> </w:t>
      </w:r>
      <w:r w:rsidRPr="00592736">
        <w:rPr>
          <w:color w:val="000000"/>
          <w:szCs w:val="24"/>
        </w:rPr>
        <w:t>1.03 million</w:t>
      </w:r>
      <w:r w:rsidRPr="005E6F3E">
        <w:rPr>
          <w:color w:val="000000"/>
        </w:rPr>
        <w:t xml:space="preserve"> homes on the market, the equivalent of 2.</w:t>
      </w:r>
      <w:r w:rsidRPr="00592736">
        <w:rPr>
          <w:color w:val="000000"/>
          <w:szCs w:val="24"/>
        </w:rPr>
        <w:t>2</w:t>
      </w:r>
      <w:r w:rsidRPr="005E6F3E">
        <w:rPr>
          <w:color w:val="000000"/>
        </w:rPr>
        <w:t xml:space="preserve"> months of sales in </w:t>
      </w:r>
      <w:r w:rsidRPr="00592736">
        <w:rPr>
          <w:color w:val="000000"/>
          <w:szCs w:val="24"/>
        </w:rPr>
        <w:t>April</w:t>
      </w:r>
      <w:r w:rsidRPr="005E6F3E">
        <w:rPr>
          <w:color w:val="000000"/>
        </w:rPr>
        <w:t>.</w:t>
      </w:r>
      <w:r w:rsidRPr="00EA6F86">
        <w:rPr>
          <w:color w:val="000000"/>
          <w:szCs w:val="24"/>
        </w:rPr>
        <w:t xml:space="preserve">  The inventory of new single-family homes available for sale moved even closer to a balanced market, rising to 407,000 homes in March</w:t>
      </w:r>
      <w:r>
        <w:rPr>
          <w:color w:val="000000"/>
          <w:szCs w:val="24"/>
        </w:rPr>
        <w:t xml:space="preserve">—equivalent to </w:t>
      </w:r>
      <w:r w:rsidRPr="00EA6F86">
        <w:rPr>
          <w:color w:val="000000"/>
          <w:szCs w:val="24"/>
        </w:rPr>
        <w:t>a 6.4-month supply</w:t>
      </w:r>
      <w:r>
        <w:rPr>
          <w:color w:val="000000"/>
          <w:szCs w:val="24"/>
        </w:rPr>
        <w:t>, which is just above its long-term supply of roughly 6 months</w:t>
      </w:r>
      <w:r w:rsidRPr="00EA6F86">
        <w:rPr>
          <w:color w:val="000000"/>
          <w:szCs w:val="24"/>
        </w:rPr>
        <w:t>.</w:t>
      </w:r>
    </w:p>
    <w:p w14:paraId="15A85FDD" w14:textId="235E3693" w:rsidR="00EB3F62" w:rsidRDefault="00EB3F62" w:rsidP="00EB3F62">
      <w:pPr>
        <w:pStyle w:val="Header"/>
        <w:widowControl/>
        <w:tabs>
          <w:tab w:val="left" w:pos="720"/>
        </w:tabs>
        <w:rPr>
          <w:color w:val="000000"/>
          <w:szCs w:val="24"/>
        </w:rPr>
      </w:pPr>
      <w:r w:rsidRPr="00EA6F86">
        <w:rPr>
          <w:color w:val="000000"/>
          <w:szCs w:val="24"/>
        </w:rPr>
        <w:t>.</w:t>
      </w:r>
    </w:p>
    <w:p w14:paraId="777269D0" w14:textId="77777777" w:rsidR="00EB3F62" w:rsidRDefault="00EB3F62" w:rsidP="00EB3F62">
      <w:pPr>
        <w:pStyle w:val="Header"/>
        <w:widowControl/>
        <w:tabs>
          <w:tab w:val="left" w:pos="720"/>
        </w:tabs>
        <w:rPr>
          <w:i/>
          <w:iCs/>
          <w:color w:val="000000" w:themeColor="text1"/>
          <w:szCs w:val="24"/>
        </w:rPr>
      </w:pPr>
    </w:p>
    <w:p w14:paraId="0370DCB7" w14:textId="77777777" w:rsidR="000C6D54" w:rsidRPr="00762D82" w:rsidRDefault="000C6D54" w:rsidP="000C6D54">
      <w:pPr>
        <w:rPr>
          <w:rFonts w:ascii="Times New Roman" w:hAnsi="Times New Roman"/>
          <w:b/>
          <w:bCs/>
          <w:sz w:val="24"/>
          <w:szCs w:val="24"/>
        </w:rPr>
      </w:pPr>
      <w:r w:rsidRPr="00762D82">
        <w:rPr>
          <w:rFonts w:ascii="Times New Roman" w:hAnsi="Times New Roman"/>
          <w:b/>
          <w:bCs/>
          <w:sz w:val="24"/>
          <w:szCs w:val="24"/>
        </w:rPr>
        <w:t>Prices</w:t>
      </w:r>
    </w:p>
    <w:p w14:paraId="77C8D3B2" w14:textId="77777777" w:rsidR="004943F8" w:rsidRPr="00322CF6" w:rsidRDefault="004943F8" w:rsidP="004943F8">
      <w:pPr>
        <w:pStyle w:val="NoSpacing"/>
        <w:rPr>
          <w:rFonts w:ascii="Times New Roman" w:hAnsi="Times New Roman"/>
          <w:color w:val="000000"/>
          <w:sz w:val="24"/>
          <w:szCs w:val="24"/>
          <w:highlight w:val="yellow"/>
        </w:rPr>
      </w:pPr>
      <w:r w:rsidRPr="00762D82">
        <w:rPr>
          <w:rFonts w:ascii="Times New Roman" w:hAnsi="Times New Roman"/>
          <w:color w:val="000000"/>
          <w:sz w:val="24"/>
          <w:szCs w:val="24"/>
        </w:rPr>
        <w:t>Starting in early 2021, inflation rates began accelerating markedly, elevated by supply-chain disruptions, persistently high demand for durable goods, rising food prices, a global energy shortage, and (to a lesser extent) the reopening of sectors that had languished during the pandemic—such as travel, leisure, and hospitality.  Inflation has continued to accelerate well into 2022</w:t>
      </w:r>
      <w:r>
        <w:rPr>
          <w:rFonts w:ascii="Times New Roman" w:hAnsi="Times New Roman"/>
          <w:color w:val="000000"/>
          <w:sz w:val="24"/>
          <w:szCs w:val="24"/>
        </w:rPr>
        <w:t xml:space="preserve">, propelled in part by steady growth of shelter costs (rent and imputed rent for </w:t>
      </w:r>
      <w:r>
        <w:rPr>
          <w:rFonts w:ascii="Times New Roman" w:hAnsi="Times New Roman"/>
          <w:color w:val="000000"/>
          <w:sz w:val="24"/>
          <w:szCs w:val="24"/>
        </w:rPr>
        <w:lastRenderedPageBreak/>
        <w:t>homeowners)</w:t>
      </w:r>
      <w:r w:rsidRPr="00762D82">
        <w:rPr>
          <w:rFonts w:ascii="Times New Roman" w:hAnsi="Times New Roman"/>
          <w:color w:val="000000"/>
          <w:sz w:val="24"/>
          <w:szCs w:val="24"/>
        </w:rPr>
        <w:t>.</w:t>
      </w:r>
      <w:r>
        <w:rPr>
          <w:rFonts w:ascii="Times New Roman" w:hAnsi="Times New Roman"/>
          <w:color w:val="000000"/>
          <w:sz w:val="24"/>
          <w:szCs w:val="24"/>
        </w:rPr>
        <w:t xml:space="preserve">  </w:t>
      </w:r>
      <w:r w:rsidRPr="00762D82">
        <w:rPr>
          <w:rFonts w:ascii="Times New Roman" w:hAnsi="Times New Roman"/>
          <w:color w:val="000000" w:themeColor="text1"/>
          <w:sz w:val="24"/>
          <w:szCs w:val="24"/>
        </w:rPr>
        <w:t>Russia’s invasion of</w:t>
      </w:r>
      <w:r>
        <w:rPr>
          <w:rFonts w:ascii="Times New Roman" w:hAnsi="Times New Roman"/>
          <w:color w:val="000000" w:themeColor="text1"/>
          <w:sz w:val="24"/>
          <w:szCs w:val="24"/>
        </w:rPr>
        <w:t xml:space="preserve"> Ukraine has exacerbated headline inflation as it has severely disrupted energy </w:t>
      </w:r>
      <w:r w:rsidRPr="000F5FD7">
        <w:rPr>
          <w:rFonts w:ascii="Times New Roman" w:hAnsi="Times New Roman"/>
          <w:color w:val="000000" w:themeColor="text1"/>
          <w:sz w:val="24"/>
          <w:szCs w:val="24"/>
        </w:rPr>
        <w:t>supply: the price of West Texas Intermediate advanced 10.9 percent from the end of February through mid-May and U.S. retail gasoline price increased 26.2 percent through the mid-May.  Supplies of grain from Russia and the Ukraine have</w:t>
      </w:r>
      <w:r>
        <w:rPr>
          <w:rFonts w:ascii="Times New Roman" w:hAnsi="Times New Roman"/>
          <w:color w:val="000000" w:themeColor="text1"/>
          <w:sz w:val="24"/>
          <w:szCs w:val="24"/>
        </w:rPr>
        <w:t xml:space="preserve"> also been disrupted, which is likely to exacerbate already-rapid food price inflation.</w:t>
      </w:r>
    </w:p>
    <w:p w14:paraId="6E6E57C3" w14:textId="77777777" w:rsidR="004943F8" w:rsidRDefault="004943F8" w:rsidP="004943F8">
      <w:pPr>
        <w:pStyle w:val="NoSpacing"/>
        <w:rPr>
          <w:rFonts w:ascii="Times New Roman" w:hAnsi="Times New Roman"/>
          <w:color w:val="000000"/>
          <w:sz w:val="24"/>
          <w:szCs w:val="24"/>
          <w:highlight w:val="yellow"/>
        </w:rPr>
      </w:pPr>
    </w:p>
    <w:p w14:paraId="1A29B6AC" w14:textId="77777777" w:rsidR="004943F8" w:rsidRPr="00322CF6" w:rsidRDefault="004943F8" w:rsidP="004943F8">
      <w:pPr>
        <w:pStyle w:val="NoSpacing"/>
        <w:rPr>
          <w:rFonts w:ascii="Times New Roman" w:hAnsi="Times New Roman"/>
          <w:color w:val="000000"/>
          <w:sz w:val="24"/>
          <w:szCs w:val="24"/>
          <w:highlight w:val="yellow"/>
        </w:rPr>
      </w:pPr>
    </w:p>
    <w:p w14:paraId="4D51AE70" w14:textId="77777777" w:rsidR="004943F8" w:rsidRPr="007B2DB9" w:rsidRDefault="004943F8" w:rsidP="004943F8">
      <w:pPr>
        <w:pStyle w:val="NoSpacing"/>
        <w:rPr>
          <w:rFonts w:ascii="Times New Roman" w:hAnsi="Times New Roman"/>
          <w:color w:val="000000"/>
          <w:sz w:val="24"/>
          <w:szCs w:val="24"/>
        </w:rPr>
      </w:pPr>
      <w:r w:rsidRPr="005A4ACA">
        <w:rPr>
          <w:rFonts w:ascii="Times New Roman" w:hAnsi="Times New Roman"/>
          <w:color w:val="000000"/>
          <w:sz w:val="24"/>
          <w:szCs w:val="24"/>
        </w:rPr>
        <w:t xml:space="preserve">In April 2022, headline inflation – as measured by the consumer price index (CPI) – was 0.3 percent.  This was significantly slower than </w:t>
      </w:r>
      <w:r>
        <w:rPr>
          <w:rFonts w:ascii="Times New Roman" w:hAnsi="Times New Roman"/>
          <w:color w:val="000000"/>
          <w:sz w:val="24"/>
          <w:szCs w:val="24"/>
        </w:rPr>
        <w:t>March’s</w:t>
      </w:r>
      <w:r w:rsidRPr="005A4ACA">
        <w:rPr>
          <w:rFonts w:ascii="Times New Roman" w:hAnsi="Times New Roman"/>
          <w:color w:val="000000"/>
          <w:sz w:val="24"/>
          <w:szCs w:val="24"/>
        </w:rPr>
        <w:t xml:space="preserve"> </w:t>
      </w:r>
      <w:r>
        <w:rPr>
          <w:rFonts w:ascii="Times New Roman" w:hAnsi="Times New Roman"/>
          <w:color w:val="000000"/>
          <w:sz w:val="24"/>
          <w:szCs w:val="24"/>
        </w:rPr>
        <w:t>1.2</w:t>
      </w:r>
      <w:r w:rsidRPr="005A4ACA">
        <w:rPr>
          <w:rFonts w:ascii="Times New Roman" w:hAnsi="Times New Roman"/>
          <w:color w:val="000000"/>
          <w:sz w:val="24"/>
          <w:szCs w:val="24"/>
        </w:rPr>
        <w:t xml:space="preserve"> percent rate </w:t>
      </w:r>
      <w:r>
        <w:rPr>
          <w:rFonts w:ascii="Times New Roman" w:hAnsi="Times New Roman"/>
          <w:color w:val="000000"/>
          <w:sz w:val="24"/>
          <w:szCs w:val="24"/>
        </w:rPr>
        <w:t>,</w:t>
      </w:r>
      <w:r w:rsidRPr="005A4ACA">
        <w:rPr>
          <w:rFonts w:ascii="Times New Roman" w:hAnsi="Times New Roman"/>
          <w:color w:val="000000"/>
          <w:sz w:val="24"/>
          <w:szCs w:val="24"/>
        </w:rPr>
        <w:t xml:space="preserve">which marked the fastest monthly pace since </w:t>
      </w:r>
      <w:r>
        <w:rPr>
          <w:rFonts w:ascii="Times New Roman" w:hAnsi="Times New Roman"/>
          <w:color w:val="000000"/>
          <w:sz w:val="24"/>
          <w:szCs w:val="24"/>
        </w:rPr>
        <w:t>September 2005</w:t>
      </w:r>
      <w:r w:rsidRPr="005A4ACA">
        <w:rPr>
          <w:rFonts w:ascii="Times New Roman" w:hAnsi="Times New Roman"/>
          <w:color w:val="000000"/>
          <w:sz w:val="24"/>
          <w:szCs w:val="24"/>
        </w:rPr>
        <w:t xml:space="preserve">. </w:t>
      </w:r>
      <w:r>
        <w:rPr>
          <w:rFonts w:ascii="Times New Roman" w:hAnsi="Times New Roman"/>
          <w:color w:val="000000"/>
          <w:sz w:val="24"/>
          <w:szCs w:val="24"/>
        </w:rPr>
        <w:t xml:space="preserve"> Energy price inflation declined 2.7 percent in April, while food price inflation was 0.9 percent.  </w:t>
      </w:r>
      <w:r w:rsidRPr="005A4ACA">
        <w:rPr>
          <w:rFonts w:ascii="Times New Roman" w:hAnsi="Times New Roman"/>
          <w:color w:val="000000"/>
          <w:sz w:val="24"/>
          <w:szCs w:val="24"/>
        </w:rPr>
        <w:t>Core inflation was 0.6 percent in April, reflecting an acceleration in services prices</w:t>
      </w:r>
      <w:r>
        <w:rPr>
          <w:rFonts w:ascii="Times New Roman" w:hAnsi="Times New Roman"/>
          <w:color w:val="000000"/>
          <w:sz w:val="24"/>
          <w:szCs w:val="24"/>
        </w:rPr>
        <w:t xml:space="preserve"> and steady, elevated growth of shelter costs</w:t>
      </w:r>
      <w:r w:rsidRPr="005A4ACA">
        <w:rPr>
          <w:rFonts w:ascii="Times New Roman" w:hAnsi="Times New Roman"/>
          <w:color w:val="000000"/>
          <w:sz w:val="24"/>
          <w:szCs w:val="24"/>
        </w:rPr>
        <w:t xml:space="preserve">.  Shelter price inflation </w:t>
      </w:r>
      <w:r>
        <w:rPr>
          <w:rFonts w:ascii="Times New Roman" w:hAnsi="Times New Roman"/>
          <w:color w:val="000000"/>
          <w:sz w:val="24"/>
          <w:szCs w:val="24"/>
        </w:rPr>
        <w:t xml:space="preserve">was </w:t>
      </w:r>
      <w:r w:rsidRPr="005A4ACA">
        <w:rPr>
          <w:rFonts w:ascii="Times New Roman" w:hAnsi="Times New Roman"/>
          <w:color w:val="000000"/>
          <w:sz w:val="24"/>
          <w:szCs w:val="24"/>
        </w:rPr>
        <w:t>0.5 percent in April</w:t>
      </w:r>
      <w:r w:rsidRPr="00D031AB">
        <w:rPr>
          <w:rFonts w:ascii="Times New Roman" w:hAnsi="Times New Roman"/>
          <w:color w:val="000000"/>
          <w:sz w:val="24"/>
          <w:szCs w:val="24"/>
        </w:rPr>
        <w:t>.  On a year-over-year basis, headline and core inflation readings remain quite elevated: CPI inflation was 8.3 percent, and core inflation was 6.2 percent.  Twelve-month core inflation has remained above 6.0 percent for four consecutive months</w:t>
      </w:r>
      <w:r w:rsidRPr="007B2DB9">
        <w:rPr>
          <w:rFonts w:ascii="Times New Roman" w:hAnsi="Times New Roman"/>
          <w:color w:val="000000"/>
          <w:sz w:val="24"/>
          <w:szCs w:val="24"/>
        </w:rPr>
        <w:t>. Energy and food price inflation remains brisk as well: the energy price index was up 30.3 percent over the year through April, while food price inflation was 8.3 percent over the past 12 months – the latter was the fastest yearly rate since April 1981.</w:t>
      </w:r>
    </w:p>
    <w:p w14:paraId="519DE33E" w14:textId="77777777" w:rsidR="004943F8" w:rsidRPr="00322CF6" w:rsidRDefault="004943F8" w:rsidP="004943F8">
      <w:pPr>
        <w:pStyle w:val="NoSpacing"/>
        <w:rPr>
          <w:rFonts w:ascii="Times New Roman" w:hAnsi="Times New Roman"/>
          <w:color w:val="000000"/>
          <w:sz w:val="24"/>
          <w:szCs w:val="24"/>
          <w:highlight w:val="yellow"/>
        </w:rPr>
      </w:pPr>
    </w:p>
    <w:p w14:paraId="31239239" w14:textId="77777777" w:rsidR="004943F8" w:rsidRPr="0033620E" w:rsidRDefault="004943F8" w:rsidP="004943F8">
      <w:pPr>
        <w:pStyle w:val="NoSpacing"/>
        <w:rPr>
          <w:rFonts w:ascii="Times New Roman" w:eastAsia="Times New Roman" w:hAnsi="Times New Roman"/>
          <w:sz w:val="24"/>
          <w:szCs w:val="24"/>
        </w:rPr>
      </w:pPr>
      <w:r w:rsidRPr="0033620E">
        <w:rPr>
          <w:rFonts w:ascii="Times New Roman" w:hAnsi="Times New Roman"/>
          <w:color w:val="000000"/>
          <w:sz w:val="24"/>
          <w:szCs w:val="24"/>
        </w:rPr>
        <w:t>The headline Personal Consumption Expenditures (PCE) Price Index (the preferred measure for the Federal Open Market Committee (FOMC)’s 2-percent inflation target) rose 6.6 percent over the year through March 2022 (</w:t>
      </w:r>
      <w:r>
        <w:rPr>
          <w:rFonts w:ascii="Times New Roman" w:hAnsi="Times New Roman"/>
          <w:color w:val="000000"/>
          <w:sz w:val="24"/>
          <w:szCs w:val="24"/>
        </w:rPr>
        <w:t xml:space="preserve">last available data as of May 19), which was the </w:t>
      </w:r>
      <w:r w:rsidRPr="0033620E">
        <w:rPr>
          <w:rFonts w:ascii="Times New Roman" w:hAnsi="Times New Roman"/>
          <w:color w:val="000000"/>
          <w:sz w:val="24"/>
          <w:szCs w:val="24"/>
        </w:rPr>
        <w:t>fastest pace since June 1982</w:t>
      </w:r>
      <w:r>
        <w:rPr>
          <w:rFonts w:ascii="Times New Roman" w:hAnsi="Times New Roman"/>
          <w:color w:val="000000"/>
          <w:sz w:val="24"/>
          <w:szCs w:val="24"/>
        </w:rPr>
        <w:t>.  C</w:t>
      </w:r>
      <w:r w:rsidRPr="0033620E">
        <w:rPr>
          <w:rFonts w:ascii="Times New Roman" w:hAnsi="Times New Roman"/>
          <w:color w:val="000000"/>
          <w:sz w:val="24"/>
          <w:szCs w:val="24"/>
        </w:rPr>
        <w:t>ore PCE inflation was 5.2 percent.  Prior to March 2021, inflation as measured by the PCE price index had held below the FOMC’s target since November 2018, which contributed to the FOMC adopting a new inflation regime.  The flexible average inflation target regime would allow for inflation to exceed 2 percent for some period, such that PCE inflation would</w:t>
      </w:r>
      <w:r w:rsidRPr="0033620E">
        <w:rPr>
          <w:rFonts w:ascii="Times New Roman" w:eastAsia="Times New Roman" w:hAnsi="Times New Roman"/>
          <w:sz w:val="24"/>
          <w:szCs w:val="24"/>
        </w:rPr>
        <w:t xml:space="preserve"> average 2 percent over time.  </w:t>
      </w:r>
    </w:p>
    <w:p w14:paraId="5CEF460B" w14:textId="55084EE7" w:rsidR="000C6D54" w:rsidRPr="00322CF6" w:rsidRDefault="000C6D54" w:rsidP="000C6D54">
      <w:pPr>
        <w:pStyle w:val="NoSpacing"/>
        <w:rPr>
          <w:rFonts w:ascii="Times New Roman" w:eastAsia="Times New Roman" w:hAnsi="Times New Roman"/>
          <w:sz w:val="24"/>
          <w:szCs w:val="24"/>
          <w:highlight w:val="yellow"/>
        </w:rPr>
      </w:pPr>
      <w:r w:rsidRPr="00322CF6">
        <w:rPr>
          <w:rFonts w:ascii="Times New Roman" w:eastAsia="Times New Roman" w:hAnsi="Times New Roman"/>
          <w:sz w:val="24"/>
          <w:szCs w:val="24"/>
          <w:highlight w:val="yellow"/>
        </w:rPr>
        <w:t xml:space="preserve"> </w:t>
      </w:r>
    </w:p>
    <w:p w14:paraId="2180C423" w14:textId="77777777" w:rsidR="00001B0A" w:rsidRPr="00001B0A" w:rsidRDefault="00001B0A" w:rsidP="00914C23">
      <w:pPr>
        <w:spacing w:after="160" w:line="240" w:lineRule="auto"/>
        <w:jc w:val="center"/>
        <w:rPr>
          <w:rFonts w:asciiTheme="minorHAnsi" w:eastAsia="Cambria" w:hAnsiTheme="minorHAnsi" w:cstheme="minorBidi"/>
          <w:b/>
          <w:sz w:val="24"/>
        </w:rPr>
      </w:pPr>
      <w:r w:rsidRPr="00001B0A">
        <w:rPr>
          <w:rFonts w:asciiTheme="minorHAnsi" w:eastAsia="Cambria" w:hAnsiTheme="minorHAnsi" w:cstheme="minorBidi"/>
          <w:b/>
          <w:sz w:val="24"/>
        </w:rPr>
        <w:t>Consumer Prices</w:t>
      </w:r>
    </w:p>
    <w:p w14:paraId="63F13613" w14:textId="77777777" w:rsidR="00001B0A" w:rsidRPr="00001B0A" w:rsidRDefault="00001B0A" w:rsidP="00914C23">
      <w:pPr>
        <w:spacing w:after="160" w:line="240" w:lineRule="auto"/>
        <w:jc w:val="center"/>
        <w:rPr>
          <w:rFonts w:asciiTheme="minorHAnsi" w:eastAsia="Cambria" w:hAnsiTheme="minorHAnsi" w:cstheme="minorBidi"/>
          <w:bCs/>
          <w:sz w:val="18"/>
          <w:szCs w:val="18"/>
        </w:rPr>
      </w:pPr>
      <w:r w:rsidRPr="00001B0A">
        <w:rPr>
          <w:rFonts w:asciiTheme="minorHAnsi" w:eastAsia="Cambria" w:hAnsiTheme="minorHAnsi" w:cstheme="minorBidi"/>
          <w:bCs/>
          <w:sz w:val="18"/>
          <w:szCs w:val="18"/>
        </w:rPr>
        <w:t>(Percent change from a year earlier)</w:t>
      </w:r>
    </w:p>
    <w:p w14:paraId="0EAFD5EC" w14:textId="0D6B6764" w:rsidR="00001B0A" w:rsidRDefault="00001B0A" w:rsidP="00001B0A">
      <w:pPr>
        <w:jc w:val="center"/>
        <w:rPr>
          <w:rFonts w:ascii="Times New Roman" w:hAnsi="Times New Roman"/>
          <w:b/>
          <w:bCs/>
          <w:sz w:val="24"/>
          <w:szCs w:val="24"/>
        </w:rPr>
      </w:pPr>
      <w:r>
        <w:rPr>
          <w:noProof/>
        </w:rPr>
        <w:drawing>
          <wp:inline distT="0" distB="0" distL="0" distR="0" wp14:anchorId="6C6A2D3C" wp14:editId="0BFC2AF3">
            <wp:extent cx="3581400" cy="2771775"/>
            <wp:effectExtent l="0" t="0" r="0" b="9525"/>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3581920" cy="2772177"/>
                    </a:xfrm>
                    <a:prstGeom prst="rect">
                      <a:avLst/>
                    </a:prstGeom>
                  </pic:spPr>
                </pic:pic>
              </a:graphicData>
            </a:graphic>
          </wp:inline>
        </w:drawing>
      </w:r>
    </w:p>
    <w:p w14:paraId="60135391" w14:textId="77777777" w:rsidR="00914C23" w:rsidRDefault="00914C23" w:rsidP="000C6D54">
      <w:pPr>
        <w:rPr>
          <w:rFonts w:ascii="Times New Roman" w:hAnsi="Times New Roman"/>
          <w:b/>
          <w:bCs/>
          <w:sz w:val="24"/>
          <w:szCs w:val="24"/>
        </w:rPr>
      </w:pPr>
    </w:p>
    <w:p w14:paraId="625EF2C7" w14:textId="6F385B4C" w:rsidR="000C6D54" w:rsidRPr="00A665F5" w:rsidRDefault="000C6D54" w:rsidP="000C6D54">
      <w:pPr>
        <w:rPr>
          <w:rFonts w:ascii="Times New Roman" w:hAnsi="Times New Roman"/>
          <w:b/>
          <w:bCs/>
          <w:sz w:val="24"/>
          <w:szCs w:val="24"/>
        </w:rPr>
      </w:pPr>
      <w:r w:rsidRPr="00A665F5">
        <w:rPr>
          <w:rFonts w:ascii="Times New Roman" w:hAnsi="Times New Roman"/>
          <w:b/>
          <w:bCs/>
          <w:sz w:val="24"/>
          <w:szCs w:val="24"/>
        </w:rPr>
        <w:t>Consumer and Business Sentiment</w:t>
      </w:r>
    </w:p>
    <w:p w14:paraId="4E0104FA" w14:textId="77777777" w:rsidR="004943F8" w:rsidRPr="00E306E9" w:rsidRDefault="004943F8" w:rsidP="004943F8">
      <w:pPr>
        <w:pStyle w:val="NoSpacing"/>
        <w:rPr>
          <w:rFonts w:ascii="Times New Roman" w:hAnsi="Times New Roman"/>
          <w:sz w:val="24"/>
          <w:szCs w:val="24"/>
        </w:rPr>
      </w:pPr>
      <w:r w:rsidRPr="00A665F5">
        <w:rPr>
          <w:rFonts w:ascii="Times New Roman" w:hAnsi="Times New Roman"/>
          <w:sz w:val="24"/>
          <w:szCs w:val="24"/>
        </w:rPr>
        <w:t xml:space="preserve">The Reuters/Michigan consumer sentiment index has trended much lower since April 2021, falling to 59.1 by the early-May survey—that is, it is now nearly 13 points </w:t>
      </w:r>
      <w:r w:rsidRPr="00A665F5">
        <w:rPr>
          <w:rFonts w:ascii="Times New Roman" w:hAnsi="Times New Roman"/>
          <w:i/>
          <w:iCs/>
          <w:sz w:val="24"/>
          <w:szCs w:val="24"/>
        </w:rPr>
        <w:t>below</w:t>
      </w:r>
      <w:r w:rsidRPr="00A665F5">
        <w:rPr>
          <w:rFonts w:ascii="Times New Roman" w:hAnsi="Times New Roman"/>
          <w:sz w:val="24"/>
          <w:szCs w:val="24"/>
        </w:rPr>
        <w:t xml:space="preserve"> the pandemic low reached in April 2020.  </w:t>
      </w:r>
      <w:r w:rsidRPr="00E306E9">
        <w:rPr>
          <w:rFonts w:ascii="Times New Roman" w:hAnsi="Times New Roman"/>
          <w:sz w:val="24"/>
          <w:szCs w:val="24"/>
        </w:rPr>
        <w:t xml:space="preserve">The ongoing decline in the last few months has reflected strong concerns about the persistence of rapid inflation as well as Russia’s illegal invasion of Ukraine and its impact on commodity prices, including oil and grains.  </w:t>
      </w:r>
      <w:r>
        <w:rPr>
          <w:rFonts w:ascii="Times New Roman" w:hAnsi="Times New Roman"/>
          <w:sz w:val="24"/>
          <w:szCs w:val="24"/>
        </w:rPr>
        <w:t>In addition, but to</w:t>
      </w:r>
      <w:r w:rsidRPr="00E306E9">
        <w:rPr>
          <w:rFonts w:ascii="Times New Roman" w:hAnsi="Times New Roman"/>
          <w:sz w:val="24"/>
          <w:szCs w:val="24"/>
        </w:rPr>
        <w:t xml:space="preserve"> a lesser extent</w:t>
      </w:r>
      <w:r>
        <w:rPr>
          <w:rFonts w:ascii="Times New Roman" w:hAnsi="Times New Roman"/>
          <w:sz w:val="24"/>
          <w:szCs w:val="24"/>
        </w:rPr>
        <w:t>,</w:t>
      </w:r>
      <w:r w:rsidRPr="00E306E9">
        <w:rPr>
          <w:rFonts w:ascii="Times New Roman" w:hAnsi="Times New Roman"/>
          <w:sz w:val="24"/>
          <w:szCs w:val="24"/>
        </w:rPr>
        <w:t xml:space="preserve"> </w:t>
      </w:r>
      <w:r>
        <w:rPr>
          <w:rFonts w:ascii="Times New Roman" w:hAnsi="Times New Roman"/>
          <w:sz w:val="24"/>
          <w:szCs w:val="24"/>
        </w:rPr>
        <w:t>households</w:t>
      </w:r>
      <w:r w:rsidRPr="00E306E9">
        <w:rPr>
          <w:rFonts w:ascii="Times New Roman" w:hAnsi="Times New Roman"/>
          <w:sz w:val="24"/>
          <w:szCs w:val="24"/>
        </w:rPr>
        <w:t xml:space="preserve"> remain concern</w:t>
      </w:r>
      <w:r>
        <w:rPr>
          <w:rFonts w:ascii="Times New Roman" w:hAnsi="Times New Roman"/>
          <w:sz w:val="24"/>
          <w:szCs w:val="24"/>
        </w:rPr>
        <w:t>ed</w:t>
      </w:r>
      <w:r w:rsidRPr="00E306E9">
        <w:rPr>
          <w:rFonts w:ascii="Times New Roman" w:hAnsi="Times New Roman"/>
          <w:sz w:val="24"/>
          <w:szCs w:val="24"/>
        </w:rPr>
        <w:t xml:space="preserve"> about </w:t>
      </w:r>
      <w:r>
        <w:rPr>
          <w:rFonts w:ascii="Times New Roman" w:hAnsi="Times New Roman"/>
          <w:sz w:val="24"/>
          <w:szCs w:val="24"/>
        </w:rPr>
        <w:t>the novel coronavirus</w:t>
      </w:r>
      <w:r w:rsidRPr="00E306E9">
        <w:rPr>
          <w:rFonts w:ascii="Times New Roman" w:hAnsi="Times New Roman"/>
          <w:sz w:val="24"/>
          <w:szCs w:val="24"/>
        </w:rPr>
        <w:t>.</w:t>
      </w:r>
    </w:p>
    <w:p w14:paraId="1828B959" w14:textId="77777777" w:rsidR="004943F8" w:rsidRPr="00322CF6" w:rsidRDefault="004943F8" w:rsidP="004943F8">
      <w:pPr>
        <w:pStyle w:val="NoSpacing"/>
        <w:rPr>
          <w:rFonts w:ascii="Times New Roman" w:hAnsi="Times New Roman"/>
          <w:sz w:val="24"/>
          <w:szCs w:val="24"/>
          <w:highlight w:val="yellow"/>
        </w:rPr>
      </w:pPr>
    </w:p>
    <w:p w14:paraId="6D5B4C98" w14:textId="77777777" w:rsidR="004943F8" w:rsidRPr="00F0126E" w:rsidRDefault="004943F8" w:rsidP="004943F8">
      <w:pPr>
        <w:pStyle w:val="NoSpacing"/>
        <w:rPr>
          <w:rFonts w:ascii="Times New Roman" w:hAnsi="Times New Roman"/>
          <w:spacing w:val="4"/>
          <w:sz w:val="24"/>
          <w:szCs w:val="24"/>
        </w:rPr>
      </w:pPr>
      <w:r w:rsidRPr="00F0126E">
        <w:rPr>
          <w:rFonts w:ascii="Times New Roman" w:hAnsi="Times New Roman"/>
          <w:sz w:val="24"/>
          <w:szCs w:val="24"/>
        </w:rPr>
        <w:t>The Conference Board’s consumer confidence index has followed a different path</w:t>
      </w:r>
      <w:r>
        <w:rPr>
          <w:rFonts w:ascii="Times New Roman" w:hAnsi="Times New Roman"/>
          <w:sz w:val="24"/>
          <w:szCs w:val="24"/>
        </w:rPr>
        <w:t xml:space="preserve"> than the Michigan survey</w:t>
      </w:r>
      <w:r w:rsidRPr="00F0126E">
        <w:rPr>
          <w:rFonts w:ascii="Times New Roman" w:hAnsi="Times New Roman"/>
          <w:sz w:val="24"/>
          <w:szCs w:val="24"/>
        </w:rPr>
        <w:t>.  T</w:t>
      </w:r>
      <w:r w:rsidRPr="00F0126E">
        <w:rPr>
          <w:rFonts w:ascii="Times New Roman" w:hAnsi="Times New Roman"/>
          <w:spacing w:val="4"/>
          <w:sz w:val="24"/>
          <w:szCs w:val="24"/>
        </w:rPr>
        <w:t xml:space="preserve">he confidence index began a noticeable uptrend in March 2021; by June 2021, it had risen to 128.9, only 3.7 points below its pre-pandemic level.  Since then, the index has slowly trended lower and stood at 107.3 in </w:t>
      </w:r>
      <w:proofErr w:type="gramStart"/>
      <w:r w:rsidRPr="00F0126E">
        <w:rPr>
          <w:rFonts w:ascii="Times New Roman" w:hAnsi="Times New Roman"/>
          <w:spacing w:val="4"/>
          <w:sz w:val="24"/>
          <w:szCs w:val="24"/>
        </w:rPr>
        <w:t xml:space="preserve">April, </w:t>
      </w:r>
      <w:r>
        <w:rPr>
          <w:rFonts w:ascii="Times New Roman" w:hAnsi="Times New Roman"/>
          <w:spacing w:val="4"/>
          <w:sz w:val="24"/>
          <w:szCs w:val="24"/>
        </w:rPr>
        <w:t>but</w:t>
      </w:r>
      <w:proofErr w:type="gramEnd"/>
      <w:r>
        <w:rPr>
          <w:rFonts w:ascii="Times New Roman" w:hAnsi="Times New Roman"/>
          <w:spacing w:val="4"/>
          <w:sz w:val="24"/>
          <w:szCs w:val="24"/>
        </w:rPr>
        <w:t xml:space="preserve"> was still</w:t>
      </w:r>
      <w:r w:rsidRPr="00F0126E">
        <w:rPr>
          <w:rFonts w:ascii="Times New Roman" w:hAnsi="Times New Roman"/>
          <w:spacing w:val="4"/>
          <w:sz w:val="24"/>
          <w:szCs w:val="24"/>
        </w:rPr>
        <w:t xml:space="preserve"> 21.6 points </w:t>
      </w:r>
      <w:r w:rsidRPr="00F0126E">
        <w:rPr>
          <w:rFonts w:ascii="Times New Roman" w:hAnsi="Times New Roman"/>
          <w:i/>
          <w:iCs/>
          <w:spacing w:val="4"/>
          <w:sz w:val="24"/>
          <w:szCs w:val="24"/>
        </w:rPr>
        <w:t>above</w:t>
      </w:r>
      <w:r w:rsidRPr="00F0126E">
        <w:rPr>
          <w:rFonts w:ascii="Times New Roman" w:hAnsi="Times New Roman"/>
          <w:spacing w:val="4"/>
          <w:sz w:val="24"/>
          <w:szCs w:val="24"/>
        </w:rPr>
        <w:t xml:space="preserve"> the pandemic low.</w:t>
      </w:r>
    </w:p>
    <w:p w14:paraId="62964513" w14:textId="77777777" w:rsidR="004943F8" w:rsidRPr="00F0126E" w:rsidRDefault="004943F8" w:rsidP="004943F8">
      <w:pPr>
        <w:pStyle w:val="NoSpacing"/>
        <w:rPr>
          <w:rFonts w:ascii="Times New Roman" w:hAnsi="Times New Roman"/>
          <w:spacing w:val="4"/>
          <w:sz w:val="24"/>
          <w:szCs w:val="24"/>
        </w:rPr>
      </w:pPr>
    </w:p>
    <w:p w14:paraId="39E4CC6F" w14:textId="77777777" w:rsidR="004943F8" w:rsidRPr="00081DDE" w:rsidRDefault="004943F8" w:rsidP="004943F8">
      <w:pPr>
        <w:pStyle w:val="NoSpacing"/>
        <w:rPr>
          <w:rFonts w:ascii="Times New Roman" w:hAnsi="Times New Roman"/>
          <w:sz w:val="24"/>
          <w:szCs w:val="24"/>
        </w:rPr>
      </w:pPr>
      <w:r w:rsidRPr="007B1965">
        <w:rPr>
          <w:rFonts w:ascii="Times New Roman" w:hAnsi="Times New Roman"/>
          <w:spacing w:val="4"/>
          <w:sz w:val="24"/>
          <w:szCs w:val="24"/>
        </w:rPr>
        <w:t>On the business side, t</w:t>
      </w:r>
      <w:r w:rsidRPr="007B1965">
        <w:rPr>
          <w:rFonts w:ascii="Times New Roman" w:hAnsi="Times New Roman"/>
          <w:bCs/>
          <w:sz w:val="24"/>
          <w:szCs w:val="24"/>
        </w:rPr>
        <w:t xml:space="preserve">he National Federation of Independent Business’s (NFIB) small business optimism index has recovered noticeably since the initial months of the pandemic, with the index rising to 104.0 in October 2021 (or only 0.5 points below its level in February 2020).  </w:t>
      </w:r>
      <w:r w:rsidRPr="00081DDE">
        <w:rPr>
          <w:rFonts w:ascii="Times New Roman" w:hAnsi="Times New Roman"/>
          <w:bCs/>
          <w:sz w:val="24"/>
          <w:szCs w:val="24"/>
        </w:rPr>
        <w:t xml:space="preserve">Since then, however, it has trended lower and, as of April 2022, stood at 93.2, its lowest reading </w:t>
      </w:r>
      <w:r>
        <w:rPr>
          <w:rFonts w:ascii="Times New Roman" w:hAnsi="Times New Roman"/>
          <w:bCs/>
          <w:sz w:val="24"/>
          <w:szCs w:val="24"/>
        </w:rPr>
        <w:t>in two years.</w:t>
      </w:r>
      <w:r w:rsidRPr="00081DDE">
        <w:rPr>
          <w:rFonts w:ascii="Times New Roman" w:hAnsi="Times New Roman"/>
          <w:bCs/>
          <w:sz w:val="24"/>
          <w:szCs w:val="24"/>
        </w:rPr>
        <w:t xml:space="preserve"> </w:t>
      </w:r>
    </w:p>
    <w:p w14:paraId="198392B2" w14:textId="77777777" w:rsidR="004943F8" w:rsidRDefault="004943F8" w:rsidP="004943F8">
      <w:pPr>
        <w:pStyle w:val="BodyText2"/>
        <w:spacing w:after="0" w:line="240" w:lineRule="auto"/>
      </w:pPr>
    </w:p>
    <w:p w14:paraId="679F7E5E" w14:textId="77777777" w:rsidR="004943F8" w:rsidRPr="0090110F" w:rsidRDefault="004943F8" w:rsidP="004943F8">
      <w:pPr>
        <w:rPr>
          <w:rFonts w:ascii="Times New Roman" w:hAnsi="Times New Roman"/>
          <w:b/>
          <w:bCs/>
          <w:sz w:val="24"/>
          <w:szCs w:val="24"/>
        </w:rPr>
      </w:pPr>
      <w:r w:rsidRPr="0090110F">
        <w:rPr>
          <w:rFonts w:ascii="Times New Roman" w:hAnsi="Times New Roman"/>
          <w:b/>
          <w:bCs/>
          <w:sz w:val="24"/>
          <w:szCs w:val="24"/>
        </w:rPr>
        <w:t>Federal Budget Deficit and Debt</w:t>
      </w:r>
    </w:p>
    <w:p w14:paraId="6CBFD5D4" w14:textId="77777777" w:rsidR="004943F8" w:rsidRPr="0090110F" w:rsidRDefault="004943F8" w:rsidP="004943F8">
      <w:pPr>
        <w:pStyle w:val="NormalWeb"/>
      </w:pPr>
      <w:bookmarkStart w:id="3" w:name="_Hlk88206384"/>
      <w:bookmarkStart w:id="4" w:name="_Hlk57025643"/>
      <w:r w:rsidRPr="0090110F">
        <w:t xml:space="preserve">The federal government’s deficit and debt were trending higher before the pandemic but rose sharply following the multiple fiscal responses to combat the pandemic’s effects on the economy.  At the end of fiscal year 2021, the federal government’s budget deficit was $2.78 trillion (12.4% of GDP); although down from $3.13 trillion (15.0% of GDP) at the end of fiscal year 2020, the deficit was still $1.79 trillion higher than in fiscal year 2019.  Federal receipts totaled $4.05 trillion in fiscal year 2021, up $626 billion (18.3%) from fiscal year 2020.  Net </w:t>
      </w:r>
      <w:r w:rsidRPr="00CB1649">
        <w:t xml:space="preserve">outlays for fiscal year 2021 were $6.82 trillion, up $266 billion (4.1%) from fiscal year 2020, </w:t>
      </w:r>
      <w:r w:rsidRPr="0090110F">
        <w:t xml:space="preserve">primarily due to the extensive fiscal measures enacted in late 2020 and early 2021 to counter the pandemic’s effects on low- and middle-income households and small businesses. </w:t>
      </w:r>
      <w:r>
        <w:t xml:space="preserve"> Current fiscal year to date (FYTD), through April, the deficit was to $3.60 trillion, or $1.57 trillion lower than the previous FYTD.</w:t>
      </w:r>
    </w:p>
    <w:p w14:paraId="167B259F" w14:textId="77777777" w:rsidR="004943F8" w:rsidRDefault="004943F8" w:rsidP="004943F8">
      <w:pPr>
        <w:pStyle w:val="NormalWeb"/>
      </w:pPr>
      <w:r w:rsidRPr="0090110F">
        <w:t>At the end of fiscal year 2021, gross federal debt was $28.4 trillion, up from $26.9 trillion at the end of fiscal year 2020.  The Treasury’s borrowing limit was raised to $28.89 trillion in mid-October 2021.  Federal debt held by the public, which includes debt held by the Federal Reserve but excludes federal debt held by government agencies, rose from $21.0 trillion at the end of fiscal year 2020 (100.3% of GDP) to $22.3 trillion by the end of fiscal year 2021 (99.7% of GDP).</w:t>
      </w:r>
      <w:r>
        <w:t xml:space="preserve">  As of April 2022, gross federal debt had increased to $30.4 trillion, and federal debt held by the public had increased to $23.8 trillion.</w:t>
      </w:r>
    </w:p>
    <w:bookmarkEnd w:id="3"/>
    <w:bookmarkEnd w:id="4"/>
    <w:p w14:paraId="0D5F0521" w14:textId="77777777" w:rsidR="004943F8" w:rsidRDefault="004943F8" w:rsidP="004943F8">
      <w:pPr>
        <w:rPr>
          <w:rFonts w:ascii="Times New Roman" w:hAnsi="Times New Roman"/>
          <w:b/>
          <w:bCs/>
          <w:sz w:val="24"/>
          <w:szCs w:val="24"/>
        </w:rPr>
      </w:pPr>
    </w:p>
    <w:p w14:paraId="11547797" w14:textId="77777777" w:rsidR="004943F8" w:rsidRPr="0090110F" w:rsidRDefault="004943F8" w:rsidP="004943F8">
      <w:pPr>
        <w:rPr>
          <w:rFonts w:ascii="Times New Roman" w:hAnsi="Times New Roman"/>
          <w:b/>
          <w:bCs/>
          <w:sz w:val="24"/>
          <w:szCs w:val="24"/>
        </w:rPr>
      </w:pPr>
      <w:r w:rsidRPr="0090110F">
        <w:rPr>
          <w:rFonts w:ascii="Times New Roman" w:hAnsi="Times New Roman"/>
          <w:b/>
          <w:bCs/>
          <w:sz w:val="24"/>
          <w:szCs w:val="24"/>
        </w:rPr>
        <w:lastRenderedPageBreak/>
        <w:t>Economic Policy</w:t>
      </w:r>
    </w:p>
    <w:p w14:paraId="707CA2F6" w14:textId="77777777" w:rsidR="004943F8" w:rsidRDefault="004943F8" w:rsidP="004943F8">
      <w:pPr>
        <w:spacing w:after="0" w:line="240" w:lineRule="auto"/>
        <w:rPr>
          <w:rFonts w:ascii="Times New Roman" w:hAnsi="Times New Roman"/>
          <w:sz w:val="24"/>
          <w:szCs w:val="24"/>
        </w:rPr>
      </w:pPr>
      <w:r w:rsidRPr="0090110F">
        <w:rPr>
          <w:rFonts w:ascii="Times New Roman" w:hAnsi="Times New Roman"/>
          <w:sz w:val="24"/>
          <w:szCs w:val="24"/>
        </w:rPr>
        <w:t>The U.S. government responded to the effects of the COVID-19 pandemic with a range of significant countercyclical fiscal and monetary policies, including an unprecedented level of fiscal assistance and a reduction in the key policy interest rate to near-zero.</w:t>
      </w:r>
      <w:r>
        <w:rPr>
          <w:rFonts w:ascii="Times New Roman" w:hAnsi="Times New Roman"/>
          <w:sz w:val="24"/>
          <w:szCs w:val="24"/>
        </w:rPr>
        <w:t xml:space="preserve">  The latest relief package, the American Rescue Plan (ARP) was signed into law spring</w:t>
      </w:r>
      <w:r w:rsidRPr="0090110F">
        <w:rPr>
          <w:rFonts w:ascii="Times New Roman" w:hAnsi="Times New Roman"/>
          <w:sz w:val="24"/>
          <w:szCs w:val="24"/>
        </w:rPr>
        <w:t xml:space="preserve"> 2021</w:t>
      </w:r>
      <w:r>
        <w:rPr>
          <w:rFonts w:ascii="Times New Roman" w:hAnsi="Times New Roman"/>
          <w:sz w:val="24"/>
          <w:szCs w:val="24"/>
        </w:rPr>
        <w:t xml:space="preserve"> by</w:t>
      </w:r>
      <w:r w:rsidRPr="0090110F">
        <w:rPr>
          <w:rFonts w:ascii="Times New Roman" w:hAnsi="Times New Roman"/>
          <w:sz w:val="24"/>
          <w:szCs w:val="24"/>
        </w:rPr>
        <w:t xml:space="preserve"> President Biden.  The ARP provided an additional $1.9 trillion in economic aid, primarily through Economic Impact Payments and direct aid to low- to middle-income families and to the economically vulnerable.  </w:t>
      </w:r>
      <w:r>
        <w:rPr>
          <w:rFonts w:ascii="Times New Roman" w:hAnsi="Times New Roman"/>
          <w:sz w:val="24"/>
          <w:szCs w:val="24"/>
        </w:rPr>
        <w:t xml:space="preserve">  Due to the multiple relief packages in fiscal year (FY) 2021, the federal deficit was $2.78 trillion (12.4 percent of GDP), a moderate improvement from the record-high $3.13 trillion (15.0 percent of GDP) reached in FY 2020.  Meanwhile, federal debt held by the public rose to $22.3 trillion in FY 2021, up $1.3 trillion from FY 2022.  However, given the strong economic growth in 2021, debt as a share of GDP decreased by 0.5 percentage points to 99.6 percent in FY 2021.</w:t>
      </w:r>
    </w:p>
    <w:p w14:paraId="78849FAA" w14:textId="77777777" w:rsidR="004943F8" w:rsidRDefault="004943F8" w:rsidP="004943F8">
      <w:pPr>
        <w:spacing w:after="0" w:line="240" w:lineRule="auto"/>
        <w:rPr>
          <w:rFonts w:ascii="Times New Roman" w:hAnsi="Times New Roman"/>
          <w:sz w:val="24"/>
          <w:szCs w:val="24"/>
        </w:rPr>
      </w:pPr>
    </w:p>
    <w:p w14:paraId="12EE36F8" w14:textId="77777777" w:rsidR="004943F8" w:rsidRPr="0090110F" w:rsidRDefault="004943F8" w:rsidP="004943F8">
      <w:pPr>
        <w:spacing w:after="0" w:line="240" w:lineRule="auto"/>
        <w:rPr>
          <w:rFonts w:ascii="Times New Roman" w:hAnsi="Times New Roman"/>
          <w:sz w:val="24"/>
          <w:szCs w:val="24"/>
        </w:rPr>
      </w:pPr>
      <w:r>
        <w:rPr>
          <w:rFonts w:ascii="Times New Roman" w:hAnsi="Times New Roman"/>
          <w:sz w:val="24"/>
          <w:szCs w:val="24"/>
        </w:rPr>
        <w:t xml:space="preserve">So </w:t>
      </w:r>
      <w:proofErr w:type="gramStart"/>
      <w:r>
        <w:rPr>
          <w:rFonts w:ascii="Times New Roman" w:hAnsi="Times New Roman"/>
          <w:sz w:val="24"/>
          <w:szCs w:val="24"/>
        </w:rPr>
        <w:t>far</w:t>
      </w:r>
      <w:proofErr w:type="gramEnd"/>
      <w:r>
        <w:rPr>
          <w:rFonts w:ascii="Times New Roman" w:hAnsi="Times New Roman"/>
          <w:sz w:val="24"/>
          <w:szCs w:val="24"/>
        </w:rPr>
        <w:t xml:space="preserve"> this fiscal year (October 2021 to April 2022), the federal deficit has fallen to $360.0 billion, down from $1,931.8 billion over the same period in FY 2021.  The decrease has been driven by strong employment growth, which has improved both individual income taxes and payroll taxes above projections, and the phase out of relief packages.  As a result, total federal revenues were up by $842.5 trillion for the fiscal year to date and outlays were lower by $729.3 billion.  Federal debt for the fiscal year to date has risen by $1.79 trillion to $23.8 trillion.</w:t>
      </w:r>
    </w:p>
    <w:p w14:paraId="57BF8575" w14:textId="77777777" w:rsidR="004943F8" w:rsidRPr="00322CF6" w:rsidRDefault="004943F8" w:rsidP="004943F8">
      <w:pPr>
        <w:pStyle w:val="Body"/>
        <w:jc w:val="both"/>
        <w:rPr>
          <w:rFonts w:cs="Times New Roman"/>
          <w:sz w:val="24"/>
          <w:szCs w:val="24"/>
          <w:highlight w:val="green"/>
        </w:rPr>
      </w:pPr>
    </w:p>
    <w:p w14:paraId="696FD0A3" w14:textId="77777777" w:rsidR="004943F8" w:rsidRPr="008B78BF" w:rsidRDefault="004943F8" w:rsidP="004943F8">
      <w:pPr>
        <w:pStyle w:val="NoSpacing"/>
        <w:rPr>
          <w:rFonts w:ascii="Times New Roman" w:hAnsi="Times New Roman"/>
          <w:sz w:val="24"/>
          <w:szCs w:val="24"/>
          <w:highlight w:val="green"/>
        </w:rPr>
      </w:pPr>
      <w:r w:rsidRPr="00CB1649">
        <w:rPr>
          <w:rFonts w:ascii="Times New Roman" w:hAnsi="Times New Roman"/>
          <w:sz w:val="24"/>
          <w:szCs w:val="24"/>
        </w:rPr>
        <w:t>On the monetary policy side</w:t>
      </w:r>
      <w:r>
        <w:rPr>
          <w:rFonts w:ascii="Times New Roman" w:hAnsi="Times New Roman"/>
          <w:sz w:val="24"/>
          <w:szCs w:val="24"/>
        </w:rPr>
        <w:t xml:space="preserve"> in response to rising inflation and tight labor markets </w:t>
      </w:r>
      <w:r w:rsidRPr="00FB73F9">
        <w:rPr>
          <w:rFonts w:ascii="Times New Roman" w:hAnsi="Times New Roman"/>
          <w:sz w:val="24"/>
          <w:szCs w:val="24"/>
        </w:rPr>
        <w:t>the FOMC launched a new cycle of monetary tightening, raising the target range by 25 basis points to 0.25 to 0.5 percent</w:t>
      </w:r>
      <w:r>
        <w:rPr>
          <w:rFonts w:ascii="Times New Roman" w:hAnsi="Times New Roman"/>
          <w:sz w:val="24"/>
          <w:szCs w:val="24"/>
        </w:rPr>
        <w:t xml:space="preserve"> at the March 15-16 meeting</w:t>
      </w:r>
      <w:r w:rsidRPr="00FB73F9">
        <w:rPr>
          <w:rFonts w:ascii="Times New Roman" w:hAnsi="Times New Roman"/>
          <w:sz w:val="24"/>
          <w:szCs w:val="24"/>
        </w:rPr>
        <w:t xml:space="preserve">.  </w:t>
      </w:r>
      <w:r>
        <w:rPr>
          <w:rFonts w:ascii="Times New Roman" w:hAnsi="Times New Roman"/>
          <w:sz w:val="24"/>
          <w:szCs w:val="24"/>
        </w:rPr>
        <w:t>A</w:t>
      </w:r>
      <w:r w:rsidRPr="00FB73F9">
        <w:rPr>
          <w:rFonts w:ascii="Times New Roman" w:hAnsi="Times New Roman"/>
          <w:sz w:val="24"/>
          <w:szCs w:val="24"/>
        </w:rPr>
        <w:t xml:space="preserve">t the </w:t>
      </w:r>
      <w:r>
        <w:rPr>
          <w:rFonts w:ascii="Times New Roman" w:hAnsi="Times New Roman"/>
          <w:sz w:val="24"/>
          <w:szCs w:val="24"/>
        </w:rPr>
        <w:t xml:space="preserve">subsequent meeting on </w:t>
      </w:r>
      <w:r w:rsidRPr="00FB73F9">
        <w:rPr>
          <w:rFonts w:ascii="Times New Roman" w:hAnsi="Times New Roman"/>
          <w:sz w:val="24"/>
          <w:szCs w:val="24"/>
        </w:rPr>
        <w:t>May 3-4, the Committee hiked the target range by 50 basis points to a range of 0.75 to 1.0 percent.  In its accompanying statement, the FOMC stated that it “</w:t>
      </w:r>
      <w:r w:rsidRPr="00FB73F9">
        <w:rPr>
          <w:rFonts w:ascii="Times New Roman" w:hAnsi="Times New Roman"/>
          <w:bCs/>
          <w:sz w:val="24"/>
          <w:szCs w:val="24"/>
        </w:rPr>
        <w:t>anticipat</w:t>
      </w:r>
      <w:r w:rsidRPr="008B78BF">
        <w:rPr>
          <w:rFonts w:ascii="Times New Roman" w:hAnsi="Times New Roman"/>
          <w:bCs/>
          <w:sz w:val="24"/>
          <w:szCs w:val="24"/>
        </w:rPr>
        <w:t>es that ongoing increases in the target range will be appropriate.”  Elevated rates of inflation were attributed to “supply and demand imbalances related to the pandemic” with “higher energy prices and broader price pressures” cited as additional factors.  The statement added that the FOMC “is highly attentive to inflation risks.”</w:t>
      </w:r>
    </w:p>
    <w:p w14:paraId="0A241038" w14:textId="77777777" w:rsidR="004943F8" w:rsidRDefault="004943F8" w:rsidP="004943F8">
      <w:pPr>
        <w:pStyle w:val="Header"/>
        <w:widowControl/>
        <w:tabs>
          <w:tab w:val="left" w:pos="720"/>
        </w:tabs>
        <w:rPr>
          <w:szCs w:val="24"/>
        </w:rPr>
      </w:pPr>
    </w:p>
    <w:p w14:paraId="248EFB9B" w14:textId="77777777" w:rsidR="004943F8" w:rsidRDefault="004943F8" w:rsidP="004943F8">
      <w:pPr>
        <w:pStyle w:val="Header"/>
        <w:widowControl/>
        <w:tabs>
          <w:tab w:val="clear" w:pos="4320"/>
          <w:tab w:val="clear" w:pos="8640"/>
          <w:tab w:val="left" w:pos="720"/>
          <w:tab w:val="center" w:pos="4680"/>
          <w:tab w:val="right" w:pos="9360"/>
        </w:tabs>
        <w:rPr>
          <w:szCs w:val="24"/>
        </w:rPr>
      </w:pPr>
    </w:p>
    <w:p w14:paraId="1C571E53" w14:textId="71A862F0" w:rsidR="004943F8" w:rsidRPr="00EA4076" w:rsidRDefault="004943F8" w:rsidP="004943F8">
      <w:pPr>
        <w:pStyle w:val="Header"/>
        <w:widowControl/>
        <w:tabs>
          <w:tab w:val="clear" w:pos="4320"/>
          <w:tab w:val="clear" w:pos="8640"/>
          <w:tab w:val="left" w:pos="720"/>
          <w:tab w:val="center" w:pos="4680"/>
          <w:tab w:val="right" w:pos="9360"/>
        </w:tabs>
      </w:pPr>
      <w:r>
        <w:rPr>
          <w:szCs w:val="24"/>
        </w:rPr>
        <w:t>Also at the May 3-4 meeting, t</w:t>
      </w:r>
      <w:r w:rsidRPr="00EA4076">
        <w:t xml:space="preserve">he FOMC announced that it will begin </w:t>
      </w:r>
      <w:r w:rsidRPr="00FB73F9">
        <w:rPr>
          <w:i/>
          <w:iCs/>
        </w:rPr>
        <w:t>reducing</w:t>
      </w:r>
      <w:r w:rsidRPr="00EA4076">
        <w:t xml:space="preserve"> holdings of Treasury securities and mortgage-backed securities (MBS).</w:t>
      </w:r>
      <w:r>
        <w:t xml:space="preserve">  </w:t>
      </w:r>
      <w:r w:rsidRPr="00EA4076">
        <w:t>It will allow up to $30 billion of Treasury securities and $17.5 billion of MBS per month to runoff its balance sheet for three months beginning June 1.  In September, the caps will be raised to $60 billion for Treasury securities and $35 for MBS.</w:t>
      </w:r>
    </w:p>
    <w:p w14:paraId="55330A0A" w14:textId="77777777" w:rsidR="004943F8" w:rsidRDefault="004943F8" w:rsidP="004943F8">
      <w:pPr>
        <w:pStyle w:val="Header"/>
        <w:widowControl/>
        <w:tabs>
          <w:tab w:val="left" w:pos="720"/>
        </w:tabs>
        <w:rPr>
          <w:szCs w:val="24"/>
        </w:rPr>
      </w:pPr>
      <w:r w:rsidRPr="00E57D6A">
        <w:rPr>
          <w:szCs w:val="24"/>
        </w:rPr>
        <w:t xml:space="preserve"> </w:t>
      </w:r>
    </w:p>
    <w:p w14:paraId="22150673" w14:textId="77777777" w:rsidR="004943F8" w:rsidRDefault="004943F8" w:rsidP="004943F8">
      <w:pPr>
        <w:pStyle w:val="NoSpacing"/>
        <w:rPr>
          <w:rFonts w:ascii="Times New Roman" w:hAnsi="Times New Roman"/>
          <w:sz w:val="24"/>
          <w:szCs w:val="24"/>
        </w:rPr>
      </w:pPr>
    </w:p>
    <w:p w14:paraId="7C200DA6" w14:textId="77777777" w:rsidR="005E5B47" w:rsidRDefault="005E5B47" w:rsidP="004943F8">
      <w:pPr>
        <w:pStyle w:val="NoSpacing"/>
        <w:rPr>
          <w:rFonts w:ascii="Times New Roman" w:hAnsi="Times New Roman"/>
          <w:sz w:val="24"/>
          <w:szCs w:val="24"/>
        </w:rPr>
      </w:pPr>
    </w:p>
    <w:sectPr w:rsidR="005E5B47" w:rsidSect="00055EB9">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ECF33" w14:textId="77777777" w:rsidR="0095224E" w:rsidRDefault="0095224E" w:rsidP="00055EB9">
      <w:pPr>
        <w:spacing w:after="0" w:line="240" w:lineRule="auto"/>
      </w:pPr>
      <w:r>
        <w:separator/>
      </w:r>
    </w:p>
  </w:endnote>
  <w:endnote w:type="continuationSeparator" w:id="0">
    <w:p w14:paraId="0F37AC08" w14:textId="77777777" w:rsidR="0095224E" w:rsidRDefault="0095224E" w:rsidP="00055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3C1E" w14:textId="77777777" w:rsidR="0095224E" w:rsidRDefault="0095224E" w:rsidP="00055EB9">
      <w:pPr>
        <w:spacing w:after="0" w:line="240" w:lineRule="auto"/>
      </w:pPr>
      <w:r>
        <w:separator/>
      </w:r>
    </w:p>
  </w:footnote>
  <w:footnote w:type="continuationSeparator" w:id="0">
    <w:p w14:paraId="55941739" w14:textId="77777777" w:rsidR="0095224E" w:rsidRDefault="0095224E" w:rsidP="00055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240"/>
      <w:docPartObj>
        <w:docPartGallery w:val="Page Numbers (Top of Page)"/>
        <w:docPartUnique/>
      </w:docPartObj>
    </w:sdtPr>
    <w:sdtEndPr>
      <w:rPr>
        <w:rFonts w:asciiTheme="minorHAnsi" w:hAnsiTheme="minorHAnsi" w:cstheme="minorHAnsi"/>
        <w:noProof/>
        <w:szCs w:val="24"/>
      </w:rPr>
    </w:sdtEndPr>
    <w:sdtContent>
      <w:p w14:paraId="3AAD665C" w14:textId="18BF6522" w:rsidR="00055EB9" w:rsidRPr="00055EB9" w:rsidRDefault="00055EB9">
        <w:pPr>
          <w:pStyle w:val="Header"/>
          <w:jc w:val="right"/>
          <w:rPr>
            <w:rFonts w:asciiTheme="minorHAnsi" w:hAnsiTheme="minorHAnsi" w:cstheme="minorHAnsi"/>
            <w:szCs w:val="24"/>
          </w:rPr>
        </w:pPr>
        <w:r w:rsidRPr="00055EB9">
          <w:rPr>
            <w:rFonts w:asciiTheme="minorHAnsi" w:hAnsiTheme="minorHAnsi" w:cstheme="minorHAnsi"/>
            <w:szCs w:val="24"/>
          </w:rPr>
          <w:fldChar w:fldCharType="begin"/>
        </w:r>
        <w:r w:rsidRPr="00055EB9">
          <w:rPr>
            <w:rFonts w:asciiTheme="minorHAnsi" w:hAnsiTheme="minorHAnsi" w:cstheme="minorHAnsi"/>
            <w:szCs w:val="24"/>
          </w:rPr>
          <w:instrText xml:space="preserve"> PAGE   \* MERGEFORMAT </w:instrText>
        </w:r>
        <w:r w:rsidRPr="00055EB9">
          <w:rPr>
            <w:rFonts w:asciiTheme="minorHAnsi" w:hAnsiTheme="minorHAnsi" w:cstheme="minorHAnsi"/>
            <w:szCs w:val="24"/>
          </w:rPr>
          <w:fldChar w:fldCharType="separate"/>
        </w:r>
        <w:r w:rsidRPr="00055EB9">
          <w:rPr>
            <w:rFonts w:asciiTheme="minorHAnsi" w:hAnsiTheme="minorHAnsi" w:cstheme="minorHAnsi"/>
            <w:noProof/>
            <w:szCs w:val="24"/>
          </w:rPr>
          <w:t>2</w:t>
        </w:r>
        <w:r w:rsidRPr="00055EB9">
          <w:rPr>
            <w:rFonts w:asciiTheme="minorHAnsi" w:hAnsiTheme="minorHAnsi" w:cstheme="minorHAnsi"/>
            <w:noProof/>
            <w:szCs w:val="24"/>
          </w:rPr>
          <w:fldChar w:fldCharType="end"/>
        </w:r>
      </w:p>
    </w:sdtContent>
  </w:sdt>
  <w:p w14:paraId="1631706A" w14:textId="77777777" w:rsidR="00055EB9" w:rsidRDefault="0005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621D1"/>
    <w:multiLevelType w:val="hybridMultilevel"/>
    <w:tmpl w:val="4D120BDC"/>
    <w:lvl w:ilvl="0" w:tplc="35DA5CA4">
      <w:start w:val="1"/>
      <w:numFmt w:val="bullet"/>
      <w:lvlText w:val=""/>
      <w:lvlJc w:val="left"/>
      <w:pPr>
        <w:ind w:left="360" w:hanging="360"/>
      </w:pPr>
      <w:rPr>
        <w:rFonts w:ascii="Symbol" w:hAnsi="Symbol" w:hint="default"/>
        <w:color w:val="auto"/>
        <w:sz w:val="24"/>
        <w:szCs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DD03885"/>
    <w:multiLevelType w:val="hybridMultilevel"/>
    <w:tmpl w:val="9434269E"/>
    <w:lvl w:ilvl="0" w:tplc="CCA0C6AE">
      <w:start w:val="1"/>
      <w:numFmt w:val="bullet"/>
      <w:lvlText w:val=""/>
      <w:lvlJc w:val="left"/>
      <w:pPr>
        <w:ind w:left="432" w:hanging="432"/>
      </w:pPr>
      <w:rPr>
        <w:rFonts w:ascii="Symbol" w:hAnsi="Symbol" w:hint="default"/>
        <w:sz w:val="24"/>
        <w:szCs w:val="24"/>
      </w:rPr>
    </w:lvl>
    <w:lvl w:ilvl="1" w:tplc="5E844100">
      <w:start w:val="1"/>
      <w:numFmt w:val="bullet"/>
      <w:lvlText w:val="o"/>
      <w:lvlJc w:val="left"/>
      <w:pPr>
        <w:ind w:left="72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0B941A2"/>
    <w:multiLevelType w:val="hybridMultilevel"/>
    <w:tmpl w:val="F0826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28752C"/>
    <w:multiLevelType w:val="hybridMultilevel"/>
    <w:tmpl w:val="E3BE90DE"/>
    <w:lvl w:ilvl="0" w:tplc="0E60EC5E">
      <w:start w:val="1"/>
      <w:numFmt w:val="bullet"/>
      <w:lvlText w:val=""/>
      <w:lvlJc w:val="left"/>
      <w:pPr>
        <w:ind w:left="360" w:hanging="360"/>
      </w:pPr>
      <w:rPr>
        <w:rFonts w:ascii="Symbol" w:hAnsi="Symbol" w:hint="default"/>
        <w:color w:val="00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D54"/>
    <w:rsid w:val="00001B0A"/>
    <w:rsid w:val="00055EB9"/>
    <w:rsid w:val="00081DDE"/>
    <w:rsid w:val="00084EDD"/>
    <w:rsid w:val="000C0129"/>
    <w:rsid w:val="000C6D54"/>
    <w:rsid w:val="000F5FD7"/>
    <w:rsid w:val="001266CF"/>
    <w:rsid w:val="001800B9"/>
    <w:rsid w:val="0019005D"/>
    <w:rsid w:val="00195042"/>
    <w:rsid w:val="0023543A"/>
    <w:rsid w:val="00251D49"/>
    <w:rsid w:val="00265A62"/>
    <w:rsid w:val="0027622D"/>
    <w:rsid w:val="00276975"/>
    <w:rsid w:val="002D1923"/>
    <w:rsid w:val="002F7C72"/>
    <w:rsid w:val="003100F3"/>
    <w:rsid w:val="00322CF6"/>
    <w:rsid w:val="0033620E"/>
    <w:rsid w:val="0033701D"/>
    <w:rsid w:val="003E2909"/>
    <w:rsid w:val="003F4851"/>
    <w:rsid w:val="00447344"/>
    <w:rsid w:val="00451B87"/>
    <w:rsid w:val="00481F62"/>
    <w:rsid w:val="004943F8"/>
    <w:rsid w:val="004C2A93"/>
    <w:rsid w:val="004D6AAD"/>
    <w:rsid w:val="005321E1"/>
    <w:rsid w:val="00580701"/>
    <w:rsid w:val="00592736"/>
    <w:rsid w:val="00595D6E"/>
    <w:rsid w:val="005A4ACA"/>
    <w:rsid w:val="005D0A26"/>
    <w:rsid w:val="005D3B50"/>
    <w:rsid w:val="005D4E45"/>
    <w:rsid w:val="005E5B47"/>
    <w:rsid w:val="006122FC"/>
    <w:rsid w:val="00622016"/>
    <w:rsid w:val="006705F3"/>
    <w:rsid w:val="00677203"/>
    <w:rsid w:val="006D6253"/>
    <w:rsid w:val="00741759"/>
    <w:rsid w:val="0075574B"/>
    <w:rsid w:val="007616D1"/>
    <w:rsid w:val="00762D82"/>
    <w:rsid w:val="00777953"/>
    <w:rsid w:val="007B1965"/>
    <w:rsid w:val="007B2DB9"/>
    <w:rsid w:val="007F09E1"/>
    <w:rsid w:val="007F1738"/>
    <w:rsid w:val="00813C1D"/>
    <w:rsid w:val="00827473"/>
    <w:rsid w:val="008341C9"/>
    <w:rsid w:val="00887A59"/>
    <w:rsid w:val="0089530C"/>
    <w:rsid w:val="00896788"/>
    <w:rsid w:val="008A2887"/>
    <w:rsid w:val="008B78BF"/>
    <w:rsid w:val="008E5EE7"/>
    <w:rsid w:val="008F33DC"/>
    <w:rsid w:val="0090110F"/>
    <w:rsid w:val="00914C23"/>
    <w:rsid w:val="0095224E"/>
    <w:rsid w:val="0095225E"/>
    <w:rsid w:val="00984AAF"/>
    <w:rsid w:val="00A665F5"/>
    <w:rsid w:val="00A7410F"/>
    <w:rsid w:val="00AD7CC7"/>
    <w:rsid w:val="00B61CBE"/>
    <w:rsid w:val="00B83FB8"/>
    <w:rsid w:val="00C66A94"/>
    <w:rsid w:val="00C74867"/>
    <w:rsid w:val="00C74B77"/>
    <w:rsid w:val="00C7597A"/>
    <w:rsid w:val="00C8036F"/>
    <w:rsid w:val="00CB1649"/>
    <w:rsid w:val="00CB3DBA"/>
    <w:rsid w:val="00CB3E3C"/>
    <w:rsid w:val="00D031AB"/>
    <w:rsid w:val="00D54B45"/>
    <w:rsid w:val="00D631A3"/>
    <w:rsid w:val="00D978B8"/>
    <w:rsid w:val="00E262B0"/>
    <w:rsid w:val="00E306E9"/>
    <w:rsid w:val="00E332D7"/>
    <w:rsid w:val="00E57D6A"/>
    <w:rsid w:val="00EB3F62"/>
    <w:rsid w:val="00F0126E"/>
    <w:rsid w:val="00F06196"/>
    <w:rsid w:val="00F2175B"/>
    <w:rsid w:val="00F73BE0"/>
    <w:rsid w:val="00F82FF4"/>
    <w:rsid w:val="00FB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58E5"/>
  <w15:chartTrackingRefBased/>
  <w15:docId w15:val="{9C059DD5-D48E-4F93-BDB8-48070675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54"/>
    <w:pPr>
      <w:spacing w:after="200" w:line="276" w:lineRule="auto"/>
    </w:pPr>
    <w:rPr>
      <w:rFonts w:ascii="Calibri" w:eastAsia="Calibri" w:hAnsi="Calibri" w:cs="Times New Roman"/>
    </w:rPr>
  </w:style>
  <w:style w:type="paragraph" w:styleId="Heading2">
    <w:name w:val="heading 2"/>
    <w:next w:val="Body"/>
    <w:link w:val="Heading2Char"/>
    <w:rsid w:val="00777953"/>
    <w:pPr>
      <w:keepNext/>
      <w:pBdr>
        <w:top w:val="nil"/>
        <w:left w:val="nil"/>
        <w:bottom w:val="nil"/>
        <w:right w:val="nil"/>
        <w:between w:val="nil"/>
        <w:bar w:val="nil"/>
      </w:pBdr>
      <w:spacing w:before="240" w:after="60" w:line="240" w:lineRule="auto"/>
      <w:outlineLvl w:val="1"/>
    </w:pPr>
    <w:rPr>
      <w:rFonts w:ascii="Cambria" w:eastAsia="Cambria" w:hAnsi="Cambria" w:cs="Cambria"/>
      <w:b/>
      <w:bCs/>
      <w:i/>
      <w:iCs/>
      <w:color w:val="000000"/>
      <w:sz w:val="28"/>
      <w:szCs w:val="28"/>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D54"/>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0C6D54"/>
    <w:pPr>
      <w:widowControl w:val="0"/>
      <w:tabs>
        <w:tab w:val="center" w:pos="4320"/>
        <w:tab w:val="right" w:pos="8640"/>
      </w:tabs>
      <w:snapToGrid w:val="0"/>
      <w:spacing w:after="0" w:line="240" w:lineRule="auto"/>
    </w:pPr>
    <w:rPr>
      <w:rFonts w:ascii="Times New Roman" w:eastAsia="Times New Roman" w:hAnsi="Times New Roman"/>
      <w:sz w:val="24"/>
      <w:szCs w:val="20"/>
    </w:rPr>
  </w:style>
  <w:style w:type="character" w:customStyle="1" w:styleId="HeaderChar">
    <w:name w:val="Header Char"/>
    <w:basedOn w:val="DefaultParagraphFont"/>
    <w:link w:val="Header"/>
    <w:uiPriority w:val="99"/>
    <w:rsid w:val="000C6D54"/>
    <w:rPr>
      <w:rFonts w:ascii="Times New Roman" w:eastAsia="Times New Roman" w:hAnsi="Times New Roman" w:cs="Times New Roman"/>
      <w:sz w:val="24"/>
      <w:szCs w:val="20"/>
    </w:rPr>
  </w:style>
  <w:style w:type="paragraph" w:styleId="NoSpacing">
    <w:name w:val="No Spacing"/>
    <w:uiPriority w:val="1"/>
    <w:qFormat/>
    <w:rsid w:val="000C6D54"/>
    <w:pPr>
      <w:spacing w:after="0" w:line="240" w:lineRule="auto"/>
    </w:pPr>
    <w:rPr>
      <w:rFonts w:ascii="Calibri" w:eastAsia="Calibri" w:hAnsi="Calibri" w:cs="Times New Roman"/>
    </w:rPr>
  </w:style>
  <w:style w:type="paragraph" w:customStyle="1" w:styleId="Body">
    <w:name w:val="Body"/>
    <w:rsid w:val="005E5B47"/>
    <w:pPr>
      <w:spacing w:after="0" w:line="240" w:lineRule="auto"/>
    </w:pPr>
    <w:rPr>
      <w:rFonts w:ascii="Times New Roman" w:eastAsia="Arial Unicode MS" w:hAnsi="Times New Roman" w:cs="Arial Unicode MS"/>
      <w:color w:val="000000"/>
      <w:sz w:val="20"/>
      <w:szCs w:val="20"/>
      <w:u w:color="000000"/>
    </w:rPr>
  </w:style>
  <w:style w:type="character" w:customStyle="1" w:styleId="Heading2Char">
    <w:name w:val="Heading 2 Char"/>
    <w:basedOn w:val="DefaultParagraphFont"/>
    <w:link w:val="Heading2"/>
    <w:rsid w:val="00777953"/>
    <w:rPr>
      <w:rFonts w:ascii="Cambria" w:eastAsia="Cambria" w:hAnsi="Cambria" w:cs="Cambria"/>
      <w:b/>
      <w:bCs/>
      <w:i/>
      <w:iCs/>
      <w:color w:val="000000"/>
      <w:sz w:val="28"/>
      <w:szCs w:val="28"/>
      <w:u w:color="000000"/>
      <w:bdr w:val="nil"/>
    </w:rPr>
  </w:style>
  <w:style w:type="character" w:styleId="CommentReference">
    <w:name w:val="annotation reference"/>
    <w:basedOn w:val="DefaultParagraphFont"/>
    <w:uiPriority w:val="99"/>
    <w:semiHidden/>
    <w:unhideWhenUsed/>
    <w:rsid w:val="00777953"/>
    <w:rPr>
      <w:sz w:val="16"/>
      <w:szCs w:val="16"/>
    </w:rPr>
  </w:style>
  <w:style w:type="paragraph" w:styleId="CommentText">
    <w:name w:val="annotation text"/>
    <w:basedOn w:val="Normal"/>
    <w:link w:val="CommentTextChar"/>
    <w:uiPriority w:val="99"/>
    <w:semiHidden/>
    <w:unhideWhenUsed/>
    <w:rsid w:val="00777953"/>
    <w:pPr>
      <w:spacing w:after="0" w:line="240" w:lineRule="auto"/>
    </w:pPr>
    <w:rPr>
      <w:rFonts w:eastAsiaTheme="minorHAnsi" w:cs="Calibri"/>
      <w:sz w:val="20"/>
      <w:szCs w:val="20"/>
    </w:rPr>
  </w:style>
  <w:style w:type="character" w:customStyle="1" w:styleId="CommentTextChar">
    <w:name w:val="Comment Text Char"/>
    <w:basedOn w:val="DefaultParagraphFont"/>
    <w:link w:val="CommentText"/>
    <w:uiPriority w:val="99"/>
    <w:semiHidden/>
    <w:rsid w:val="00777953"/>
    <w:rPr>
      <w:rFonts w:ascii="Calibri" w:hAnsi="Calibri" w:cs="Calibri"/>
      <w:sz w:val="20"/>
      <w:szCs w:val="20"/>
    </w:rPr>
  </w:style>
  <w:style w:type="paragraph" w:styleId="ListParagraph">
    <w:name w:val="List Paragraph"/>
    <w:aliases w:val="Issue Action POC,List Paragraph1,3,POCG Table Text,Dot pt,F5 List Paragraph,List Paragraph Char Char Char,Indicator Text,Numbered Para 1,Bullet 1,Bullet Points,List Paragraph2,MAIN CONTENT,Normal numbered,Colorful List - Accent 11,Bullet"/>
    <w:basedOn w:val="Normal"/>
    <w:link w:val="ListParagraphChar"/>
    <w:uiPriority w:val="34"/>
    <w:qFormat/>
    <w:rsid w:val="00A7410F"/>
    <w:pPr>
      <w:spacing w:after="0" w:line="240" w:lineRule="auto"/>
      <w:ind w:left="720" w:hanging="432"/>
    </w:pPr>
    <w:rPr>
      <w:rFonts w:ascii="Times New Roman" w:eastAsia="Times New Roman" w:hAnsi="Times New Roman"/>
      <w:sz w:val="24"/>
      <w:szCs w:val="24"/>
      <w:lang w:val="x-none" w:eastAsia="x-none"/>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1 Char,Bullet Points Char,MAIN CONTENT Char"/>
    <w:link w:val="ListParagraph"/>
    <w:uiPriority w:val="34"/>
    <w:qFormat/>
    <w:locked/>
    <w:rsid w:val="00A7410F"/>
    <w:rPr>
      <w:rFonts w:ascii="Times New Roman" w:eastAsia="Times New Roman" w:hAnsi="Times New Roman" w:cs="Times New Roman"/>
      <w:sz w:val="24"/>
      <w:szCs w:val="24"/>
      <w:lang w:val="x-none" w:eastAsia="x-none"/>
    </w:rPr>
  </w:style>
  <w:style w:type="paragraph" w:styleId="BodyText2">
    <w:name w:val="Body Text 2"/>
    <w:basedOn w:val="Normal"/>
    <w:link w:val="BodyText2Char"/>
    <w:rsid w:val="003F4851"/>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rsid w:val="003F4851"/>
    <w:rPr>
      <w:rFonts w:ascii="Times New Roman" w:eastAsia="Times New Roman" w:hAnsi="Times New Roman"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90110F"/>
    <w:pPr>
      <w:spacing w:after="200"/>
    </w:pPr>
    <w:rPr>
      <w:rFonts w:eastAsia="Calibri" w:cs="Times New Roman"/>
      <w:b/>
      <w:bCs/>
    </w:rPr>
  </w:style>
  <w:style w:type="character" w:customStyle="1" w:styleId="CommentSubjectChar">
    <w:name w:val="Comment Subject Char"/>
    <w:basedOn w:val="CommentTextChar"/>
    <w:link w:val="CommentSubject"/>
    <w:uiPriority w:val="99"/>
    <w:semiHidden/>
    <w:rsid w:val="0090110F"/>
    <w:rPr>
      <w:rFonts w:ascii="Calibri" w:eastAsia="Calibri" w:hAnsi="Calibri" w:cs="Times New Roman"/>
      <w:b/>
      <w:bCs/>
      <w:sz w:val="20"/>
      <w:szCs w:val="20"/>
    </w:rPr>
  </w:style>
  <w:style w:type="paragraph" w:styleId="Footer">
    <w:name w:val="footer"/>
    <w:basedOn w:val="Normal"/>
    <w:link w:val="FooterChar"/>
    <w:uiPriority w:val="99"/>
    <w:unhideWhenUsed/>
    <w:rsid w:val="00055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EB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455374">
      <w:bodyDiv w:val="1"/>
      <w:marLeft w:val="0"/>
      <w:marRight w:val="0"/>
      <w:marTop w:val="0"/>
      <w:marBottom w:val="0"/>
      <w:divBdr>
        <w:top w:val="none" w:sz="0" w:space="0" w:color="auto"/>
        <w:left w:val="none" w:sz="0" w:space="0" w:color="auto"/>
        <w:bottom w:val="none" w:sz="0" w:space="0" w:color="auto"/>
        <w:right w:val="none" w:sz="0" w:space="0" w:color="auto"/>
      </w:divBdr>
    </w:div>
    <w:div w:id="158460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4389</Words>
  <Characters>25020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Kathleen</dc:creator>
  <cp:keywords/>
  <dc:description/>
  <cp:lastModifiedBy>Andrew R. Bayer</cp:lastModifiedBy>
  <cp:revision>4</cp:revision>
  <dcterms:created xsi:type="dcterms:W3CDTF">2022-05-26T14:33:00Z</dcterms:created>
  <dcterms:modified xsi:type="dcterms:W3CDTF">2022-05-26T14:53:00Z</dcterms:modified>
</cp:coreProperties>
</file>