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30"/>
        <w:rPr>
          <w:rFonts w:ascii="Times New Roman"/>
          <w:sz w:val="20"/>
        </w:rPr>
      </w:pPr>
      <w:r>
        <w:rPr>
          <w:rFonts w:ascii="Times New Roman"/>
          <w:sz w:val="20"/>
        </w:rPr>
        <w:drawing>
          <wp:inline distT="0" distB="0" distL="0" distR="0">
            <wp:extent cx="6187403" cy="2066925"/>
            <wp:effectExtent l="0" t="0" r="0" b="0"/>
            <wp:docPr id="1" name="image1.jpeg" descr="Financial Innovation and Transformation. Logo containing a star, portico and two sweeping banners in blue and green.    "/>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6187403" cy="2066925"/>
                    </a:xfrm>
                    <a:prstGeom prst="rect">
                      <a:avLst/>
                    </a:prstGeom>
                  </pic:spPr>
                </pic:pic>
              </a:graphicData>
            </a:graphic>
          </wp:inline>
        </w:drawing>
      </w:r>
      <w:r>
        <w:rPr>
          <w:rFonts w:ascii="Times New Roman"/>
          <w:sz w:val="20"/>
        </w:rPr>
      </w:r>
    </w:p>
    <w:p>
      <w:pPr>
        <w:pStyle w:val="BodyText"/>
        <w:rPr>
          <w:rFonts w:ascii="Times New Roman"/>
          <w:sz w:val="20"/>
        </w:rPr>
      </w:pPr>
    </w:p>
    <w:p>
      <w:pPr>
        <w:pStyle w:val="BodyText"/>
        <w:spacing w:before="11"/>
        <w:rPr>
          <w:rFonts w:ascii="Times New Roman"/>
          <w:sz w:val="25"/>
        </w:rPr>
      </w:pPr>
    </w:p>
    <w:p>
      <w:pPr>
        <w:pStyle w:val="Title"/>
      </w:pPr>
      <w:r>
        <w:rPr>
          <w:color w:val="043152"/>
          <w:spacing w:val="-6"/>
        </w:rPr>
        <w:t>Federal</w:t>
      </w:r>
      <w:r>
        <w:rPr>
          <w:color w:val="043152"/>
          <w:spacing w:val="-23"/>
        </w:rPr>
        <w:t> </w:t>
      </w:r>
      <w:r>
        <w:rPr>
          <w:color w:val="043152"/>
          <w:spacing w:val="-6"/>
        </w:rPr>
        <w:t>Financial</w:t>
      </w:r>
      <w:r>
        <w:rPr>
          <w:color w:val="043152"/>
          <w:spacing w:val="-23"/>
        </w:rPr>
        <w:t> </w:t>
      </w:r>
      <w:r>
        <w:rPr>
          <w:color w:val="043152"/>
          <w:spacing w:val="-6"/>
        </w:rPr>
        <w:t>Management</w:t>
      </w:r>
      <w:r>
        <w:rPr>
          <w:color w:val="043152"/>
          <w:spacing w:val="-23"/>
        </w:rPr>
        <w:t> </w:t>
      </w:r>
      <w:r>
        <w:rPr>
          <w:color w:val="043152"/>
          <w:spacing w:val="-6"/>
        </w:rPr>
        <w:t>(FFM)</w:t>
      </w:r>
      <w:r>
        <w:rPr>
          <w:color w:val="043152"/>
          <w:spacing w:val="-21"/>
        </w:rPr>
        <w:t> </w:t>
      </w:r>
      <w:r>
        <w:rPr>
          <w:color w:val="043152"/>
          <w:spacing w:val="-6"/>
        </w:rPr>
        <w:t>Business</w:t>
      </w:r>
      <w:r>
        <w:rPr>
          <w:color w:val="043152"/>
          <w:spacing w:val="-24"/>
        </w:rPr>
        <w:t> </w:t>
      </w:r>
      <w:r>
        <w:rPr>
          <w:color w:val="043152"/>
          <w:spacing w:val="-6"/>
        </w:rPr>
        <w:t>Capabilities</w:t>
      </w:r>
      <w:r>
        <w:rPr>
          <w:color w:val="043152"/>
          <w:spacing w:val="-22"/>
        </w:rPr>
        <w:t> </w:t>
      </w:r>
      <w:r>
        <w:rPr>
          <w:color w:val="043152"/>
          <w:spacing w:val="-6"/>
        </w:rPr>
        <w:t>(Federal </w:t>
      </w:r>
      <w:r>
        <w:rPr>
          <w:color w:val="043152"/>
          <w:spacing w:val="-2"/>
        </w:rPr>
        <w:t>Financial</w:t>
      </w:r>
      <w:r>
        <w:rPr>
          <w:color w:val="043152"/>
          <w:spacing w:val="-28"/>
        </w:rPr>
        <w:t> </w:t>
      </w:r>
      <w:r>
        <w:rPr>
          <w:color w:val="043152"/>
          <w:spacing w:val="-2"/>
        </w:rPr>
        <w:t>Management</w:t>
      </w:r>
      <w:r>
        <w:rPr>
          <w:color w:val="043152"/>
          <w:spacing w:val="-28"/>
        </w:rPr>
        <w:t> </w:t>
      </w:r>
      <w:r>
        <w:rPr>
          <w:color w:val="043152"/>
          <w:spacing w:val="-2"/>
        </w:rPr>
        <w:t>System</w:t>
      </w:r>
      <w:r>
        <w:rPr>
          <w:color w:val="043152"/>
          <w:spacing w:val="-29"/>
        </w:rPr>
        <w:t> </w:t>
      </w:r>
      <w:r>
        <w:rPr>
          <w:color w:val="043152"/>
          <w:spacing w:val="-2"/>
        </w:rPr>
        <w:t>Requirements</w:t>
      </w:r>
      <w:r>
        <w:rPr>
          <w:color w:val="043152"/>
          <w:spacing w:val="-27"/>
        </w:rPr>
        <w:t> </w:t>
      </w:r>
      <w:r>
        <w:rPr>
          <w:color w:val="043152"/>
          <w:spacing w:val="-2"/>
        </w:rPr>
        <w:t>[FFMSRs])</w:t>
      </w:r>
    </w:p>
    <w:p>
      <w:pPr>
        <w:pStyle w:val="BodyText"/>
        <w:rPr>
          <w:sz w:val="20"/>
        </w:rPr>
      </w:pPr>
    </w:p>
    <w:p>
      <w:pPr>
        <w:pStyle w:val="BodyText"/>
        <w:spacing w:before="1"/>
        <w:rPr>
          <w:sz w:val="28"/>
        </w:rPr>
      </w:pPr>
    </w:p>
    <w:p>
      <w:pPr>
        <w:pStyle w:val="Heading2"/>
        <w:spacing w:before="90"/>
        <w:ind w:left="120"/>
      </w:pPr>
      <w:r>
        <w:rPr>
          <w:color w:val="404040"/>
        </w:rPr>
        <w:t>June</w:t>
      </w:r>
      <w:r>
        <w:rPr>
          <w:color w:val="404040"/>
          <w:spacing w:val="-2"/>
        </w:rPr>
        <w:t> </w:t>
      </w:r>
      <w:r>
        <w:rPr>
          <w:color w:val="404040"/>
        </w:rPr>
        <w:t>24,</w:t>
      </w:r>
      <w:r>
        <w:rPr>
          <w:color w:val="404040"/>
          <w:spacing w:val="-1"/>
        </w:rPr>
        <w:t> </w:t>
      </w:r>
      <w:r>
        <w:rPr>
          <w:color w:val="404040"/>
          <w:spacing w:val="-4"/>
        </w:rPr>
        <w:t>2022</w:t>
      </w:r>
    </w:p>
    <w:p>
      <w:pPr>
        <w:pStyle w:val="Heading2"/>
      </w:pPr>
      <w:r>
        <w:rPr>
          <w:color w:val="404040"/>
        </w:rPr>
        <w:t>Version</w:t>
      </w:r>
      <w:r>
        <w:rPr>
          <w:color w:val="404040"/>
          <w:spacing w:val="-4"/>
        </w:rPr>
        <w:t> </w:t>
      </w:r>
      <w:r>
        <w:rPr>
          <w:color w:val="404040"/>
          <w:spacing w:val="-5"/>
        </w:rPr>
        <w:t>1.1</w:t>
      </w:r>
    </w:p>
    <w:p>
      <w:pPr>
        <w:pStyle w:val="Heading3"/>
      </w:pPr>
      <w:r>
        <w:rPr/>
        <w:t>Final</w:t>
      </w:r>
      <w:r>
        <w:rPr>
          <w:spacing w:val="-10"/>
        </w:rPr>
        <w:t> </w:t>
      </w:r>
      <w:r>
        <w:rPr/>
        <w:t>Government</w:t>
      </w:r>
      <w:r>
        <w:rPr>
          <w:spacing w:val="-10"/>
        </w:rPr>
        <w:t> </w:t>
      </w:r>
      <w:r>
        <w:rPr/>
        <w:t>Review</w:t>
      </w:r>
      <w:r>
        <w:rPr>
          <w:spacing w:val="-11"/>
        </w:rPr>
        <w:t> </w:t>
      </w:r>
      <w:r>
        <w:rPr/>
        <w:t>in</w:t>
      </w:r>
      <w:r>
        <w:rPr>
          <w:spacing w:val="-10"/>
        </w:rPr>
        <w:t> </w:t>
      </w:r>
      <w:r>
        <w:rPr>
          <w:spacing w:val="-2"/>
        </w:rPr>
        <w:t>Progress</w:t>
      </w:r>
    </w:p>
    <w:p>
      <w:pPr>
        <w:pStyle w:val="BodyText"/>
        <w:rPr>
          <w:sz w:val="20"/>
        </w:rPr>
      </w:pPr>
    </w:p>
    <w:p>
      <w:pPr>
        <w:pStyle w:val="BodyText"/>
        <w:spacing w:before="9"/>
        <w:rPr>
          <w:sz w:val="19"/>
        </w:rPr>
      </w:pPr>
    </w:p>
    <w:p>
      <w:pPr>
        <w:spacing w:line="264" w:lineRule="auto" w:before="94"/>
        <w:ind w:left="144" w:right="322" w:firstLine="0"/>
        <w:jc w:val="center"/>
        <w:rPr>
          <w:sz w:val="20"/>
        </w:rPr>
      </w:pPr>
      <w:r>
        <w:rPr>
          <w:sz w:val="20"/>
        </w:rPr>
        <w:t>This</w:t>
      </w:r>
      <w:r>
        <w:rPr>
          <w:spacing w:val="-1"/>
          <w:sz w:val="20"/>
        </w:rPr>
        <w:t> </w:t>
      </w:r>
      <w:r>
        <w:rPr>
          <w:sz w:val="20"/>
        </w:rPr>
        <w:t>document</w:t>
      </w:r>
      <w:r>
        <w:rPr>
          <w:spacing w:val="-2"/>
          <w:sz w:val="20"/>
        </w:rPr>
        <w:t> </w:t>
      </w:r>
      <w:r>
        <w:rPr>
          <w:sz w:val="20"/>
        </w:rPr>
        <w:t>contains</w:t>
      </w:r>
      <w:r>
        <w:rPr>
          <w:spacing w:val="-1"/>
          <w:sz w:val="20"/>
        </w:rPr>
        <w:t> </w:t>
      </w:r>
      <w:r>
        <w:rPr>
          <w:sz w:val="20"/>
        </w:rPr>
        <w:t>proposed</w:t>
      </w:r>
      <w:r>
        <w:rPr>
          <w:spacing w:val="-2"/>
          <w:sz w:val="20"/>
        </w:rPr>
        <w:t> </w:t>
      </w:r>
      <w:r>
        <w:rPr>
          <w:sz w:val="20"/>
        </w:rPr>
        <w:t>updates</w:t>
      </w:r>
      <w:r>
        <w:rPr>
          <w:spacing w:val="-1"/>
          <w:sz w:val="20"/>
        </w:rPr>
        <w:t> </w:t>
      </w:r>
      <w:r>
        <w:rPr>
          <w:sz w:val="20"/>
        </w:rPr>
        <w:t>to</w:t>
      </w:r>
      <w:r>
        <w:rPr>
          <w:spacing w:val="-2"/>
          <w:sz w:val="20"/>
        </w:rPr>
        <w:t> </w:t>
      </w:r>
      <w:r>
        <w:rPr>
          <w:sz w:val="20"/>
        </w:rPr>
        <w:t>the</w:t>
      </w:r>
      <w:r>
        <w:rPr>
          <w:spacing w:val="-2"/>
          <w:sz w:val="20"/>
        </w:rPr>
        <w:t> </w:t>
      </w:r>
      <w:r>
        <w:rPr>
          <w:sz w:val="20"/>
        </w:rPr>
        <w:t>currently</w:t>
      </w:r>
      <w:r>
        <w:rPr>
          <w:spacing w:val="-1"/>
          <w:sz w:val="20"/>
        </w:rPr>
        <w:t> </w:t>
      </w:r>
      <w:r>
        <w:rPr>
          <w:sz w:val="20"/>
        </w:rPr>
        <w:t>published</w:t>
      </w:r>
      <w:r>
        <w:rPr>
          <w:spacing w:val="-2"/>
          <w:sz w:val="20"/>
        </w:rPr>
        <w:t> </w:t>
      </w:r>
      <w:hyperlink r:id="rId6">
        <w:r>
          <w:rPr>
            <w:color w:val="0000FF"/>
            <w:sz w:val="20"/>
            <w:u w:val="single" w:color="0000FF"/>
          </w:rPr>
          <w:t>Financial</w:t>
        </w:r>
        <w:r>
          <w:rPr>
            <w:color w:val="0000FF"/>
            <w:spacing w:val="-2"/>
            <w:sz w:val="20"/>
            <w:u w:val="single" w:color="0000FF"/>
          </w:rPr>
          <w:t> </w:t>
        </w:r>
        <w:r>
          <w:rPr>
            <w:color w:val="0000FF"/>
            <w:sz w:val="20"/>
            <w:u w:val="single" w:color="0000FF"/>
          </w:rPr>
          <w:t>Management</w:t>
        </w:r>
        <w:r>
          <w:rPr>
            <w:color w:val="0000FF"/>
            <w:spacing w:val="-2"/>
            <w:sz w:val="20"/>
            <w:u w:val="single" w:color="0000FF"/>
          </w:rPr>
          <w:t> </w:t>
        </w:r>
        <w:r>
          <w:rPr>
            <w:color w:val="0000FF"/>
            <w:sz w:val="20"/>
            <w:u w:val="single" w:color="0000FF"/>
          </w:rPr>
          <w:t>(FM)</w:t>
        </w:r>
        <w:r>
          <w:rPr>
            <w:color w:val="0000FF"/>
            <w:spacing w:val="-1"/>
            <w:sz w:val="20"/>
            <w:u w:val="single" w:color="0000FF"/>
          </w:rPr>
          <w:t> </w:t>
        </w:r>
        <w:r>
          <w:rPr>
            <w:color w:val="0000FF"/>
            <w:sz w:val="20"/>
            <w:u w:val="single" w:color="0000FF"/>
          </w:rPr>
          <w:t>Standards</w:t>
        </w:r>
      </w:hyperlink>
      <w:r>
        <w:rPr>
          <w:color w:val="0000FF"/>
          <w:spacing w:val="-2"/>
          <w:sz w:val="20"/>
        </w:rPr>
        <w:t> </w:t>
      </w:r>
      <w:r>
        <w:rPr>
          <w:sz w:val="20"/>
        </w:rPr>
        <w:t>and</w:t>
      </w:r>
      <w:r>
        <w:rPr>
          <w:spacing w:val="-3"/>
          <w:sz w:val="20"/>
        </w:rPr>
        <w:t> </w:t>
      </w:r>
      <w:r>
        <w:rPr>
          <w:sz w:val="20"/>
        </w:rPr>
        <w:t>corresponding</w:t>
      </w:r>
      <w:r>
        <w:rPr>
          <w:spacing w:val="-2"/>
          <w:sz w:val="20"/>
        </w:rPr>
        <w:t> </w:t>
      </w:r>
      <w:r>
        <w:rPr>
          <w:sz w:val="20"/>
        </w:rPr>
        <w:t>components</w:t>
      </w:r>
      <w:r>
        <w:rPr>
          <w:spacing w:val="-1"/>
          <w:sz w:val="20"/>
        </w:rPr>
        <w:t> </w:t>
      </w:r>
      <w:r>
        <w:rPr>
          <w:sz w:val="20"/>
        </w:rPr>
        <w:t>of</w:t>
      </w:r>
      <w:r>
        <w:rPr>
          <w:spacing w:val="-2"/>
          <w:sz w:val="20"/>
        </w:rPr>
        <w:t> </w:t>
      </w:r>
      <w:r>
        <w:rPr>
          <w:sz w:val="20"/>
        </w:rPr>
        <w:t>the</w:t>
      </w:r>
      <w:r>
        <w:rPr>
          <w:spacing w:val="-2"/>
          <w:sz w:val="20"/>
        </w:rPr>
        <w:t> </w:t>
      </w:r>
      <w:hyperlink r:id="rId7">
        <w:r>
          <w:rPr>
            <w:color w:val="0000FF"/>
            <w:sz w:val="20"/>
            <w:u w:val="single" w:color="0000FF"/>
          </w:rPr>
          <w:t>Federal</w:t>
        </w:r>
        <w:r>
          <w:rPr>
            <w:color w:val="0000FF"/>
            <w:spacing w:val="-2"/>
            <w:sz w:val="20"/>
            <w:u w:val="single" w:color="0000FF"/>
          </w:rPr>
          <w:t> </w:t>
        </w:r>
        <w:r>
          <w:rPr>
            <w:color w:val="0000FF"/>
            <w:sz w:val="20"/>
            <w:u w:val="single" w:color="0000FF"/>
          </w:rPr>
          <w:t>Integrated</w:t>
        </w:r>
        <w:r>
          <w:rPr>
            <w:color w:val="0000FF"/>
            <w:spacing w:val="-2"/>
            <w:sz w:val="20"/>
            <w:u w:val="single" w:color="0000FF"/>
          </w:rPr>
          <w:t> </w:t>
        </w:r>
        <w:r>
          <w:rPr>
            <w:color w:val="0000FF"/>
            <w:sz w:val="20"/>
            <w:u w:val="single" w:color="0000FF"/>
          </w:rPr>
          <w:t>Business</w:t>
        </w:r>
        <w:r>
          <w:rPr>
            <w:color w:val="0000FF"/>
            <w:spacing w:val="-1"/>
            <w:sz w:val="20"/>
            <w:u w:val="single" w:color="0000FF"/>
          </w:rPr>
          <w:t> </w:t>
        </w:r>
        <w:r>
          <w:rPr>
            <w:color w:val="0000FF"/>
            <w:sz w:val="20"/>
            <w:u w:val="single" w:color="0000FF"/>
          </w:rPr>
          <w:t>Framework</w:t>
        </w:r>
        <w:r>
          <w:rPr>
            <w:color w:val="0000FF"/>
            <w:spacing w:val="-2"/>
            <w:sz w:val="20"/>
            <w:u w:val="single" w:color="0000FF"/>
          </w:rPr>
          <w:t> </w:t>
        </w:r>
        <w:r>
          <w:rPr>
            <w:color w:val="0000FF"/>
            <w:sz w:val="20"/>
            <w:u w:val="single" w:color="0000FF"/>
          </w:rPr>
          <w:t>(FIBF)</w:t>
        </w:r>
      </w:hyperlink>
      <w:r>
        <w:rPr>
          <w:color w:val="0000FF"/>
          <w:sz w:val="20"/>
        </w:rPr>
        <w:t> </w:t>
      </w:r>
      <w:r>
        <w:rPr>
          <w:sz w:val="20"/>
        </w:rPr>
        <w:t>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pPr>
        <w:spacing w:after="0" w:line="264" w:lineRule="auto"/>
        <w:jc w:val="center"/>
        <w:rPr>
          <w:sz w:val="20"/>
        </w:rPr>
        <w:sectPr>
          <w:type w:val="continuous"/>
          <w:pgSz w:w="20160" w:h="12240" w:orient="landscape"/>
          <w:pgMar w:top="1160" w:bottom="280" w:left="1320" w:right="1140"/>
        </w:sectPr>
      </w:pPr>
    </w:p>
    <w:p>
      <w:pPr>
        <w:spacing w:before="0"/>
        <w:ind w:left="120" w:right="0" w:firstLine="0"/>
        <w:jc w:val="left"/>
        <w:rPr>
          <w:sz w:val="36"/>
        </w:rPr>
      </w:pPr>
      <w:r>
        <w:rPr>
          <w:color w:val="016699"/>
          <w:sz w:val="36"/>
        </w:rPr>
        <w:t>Table</w:t>
      </w:r>
      <w:r>
        <w:rPr>
          <w:color w:val="016699"/>
          <w:spacing w:val="-2"/>
          <w:sz w:val="36"/>
        </w:rPr>
        <w:t> </w:t>
      </w:r>
      <w:r>
        <w:rPr>
          <w:color w:val="016699"/>
          <w:sz w:val="36"/>
        </w:rPr>
        <w:t>of</w:t>
      </w:r>
      <w:r>
        <w:rPr>
          <w:color w:val="016699"/>
          <w:spacing w:val="-1"/>
          <w:sz w:val="36"/>
        </w:rPr>
        <w:t> </w:t>
      </w:r>
      <w:r>
        <w:rPr>
          <w:color w:val="016699"/>
          <w:spacing w:val="-2"/>
          <w:sz w:val="36"/>
        </w:rPr>
        <w:t>Contents</w:t>
      </w:r>
    </w:p>
    <w:sdt>
      <w:sdtPr>
        <w:docPartObj>
          <w:docPartGallery w:val="Table of Contents"/>
          <w:docPartUnique/>
        </w:docPartObj>
      </w:sdtPr>
      <w:sdtEndPr/>
      <w:sdtContent>
        <w:p>
          <w:pPr>
            <w:pStyle w:val="TOC1"/>
            <w:tabs>
              <w:tab w:pos="17389" w:val="right" w:leader="dot"/>
            </w:tabs>
            <w:spacing w:before="39"/>
            <w:ind w:left="120"/>
          </w:pPr>
          <w:r>
            <w:fldChar w:fldCharType="begin"/>
          </w:r>
          <w:r>
            <w:instrText>TOC \o "1-1" \h \z \u </w:instrText>
          </w:r>
          <w:r>
            <w:fldChar w:fldCharType="separate"/>
          </w:r>
          <w:hyperlink w:history="true" w:anchor="_bookmark0">
            <w:r>
              <w:rPr>
                <w:spacing w:val="-2"/>
              </w:rPr>
              <w:t>Introduction</w:t>
            </w:r>
            <w:r>
              <w:rPr/>
              <w:tab/>
            </w:r>
            <w:r>
              <w:rPr>
                <w:spacing w:val="-10"/>
              </w:rPr>
              <w:t>1</w:t>
            </w:r>
          </w:hyperlink>
        </w:p>
        <w:p>
          <w:pPr>
            <w:pStyle w:val="TOC1"/>
            <w:tabs>
              <w:tab w:pos="17389" w:val="right" w:leader="dot"/>
            </w:tabs>
          </w:pPr>
          <w:hyperlink w:history="true" w:anchor="_bookmark1">
            <w:r>
              <w:rPr/>
              <w:t>Background</w:t>
            </w:r>
            <w:r>
              <w:rPr>
                <w:spacing w:val="-10"/>
              </w:rPr>
              <w:t> </w:t>
            </w:r>
            <w:r>
              <w:rPr/>
              <w:t>and</w:t>
            </w:r>
            <w:r>
              <w:rPr>
                <w:spacing w:val="-8"/>
              </w:rPr>
              <w:t> </w:t>
            </w:r>
            <w:r>
              <w:rPr>
                <w:spacing w:val="-2"/>
              </w:rPr>
              <w:t>Purpose</w:t>
            </w:r>
            <w:r>
              <w:rPr/>
              <w:tab/>
            </w:r>
            <w:r>
              <w:rPr>
                <w:spacing w:val="-10"/>
              </w:rPr>
              <w:t>2</w:t>
            </w:r>
          </w:hyperlink>
        </w:p>
        <w:p>
          <w:pPr>
            <w:pStyle w:val="TOC1"/>
            <w:tabs>
              <w:tab w:pos="17389" w:val="right" w:leader="dot"/>
            </w:tabs>
          </w:pPr>
          <w:hyperlink w:history="true" w:anchor="_bookmark4">
            <w:r>
              <w:rPr/>
              <w:t>Organization</w:t>
            </w:r>
            <w:r>
              <w:rPr>
                <w:spacing w:val="-10"/>
              </w:rPr>
              <w:t> </w:t>
            </w:r>
            <w:r>
              <w:rPr/>
              <w:t>and</w:t>
            </w:r>
            <w:r>
              <w:rPr>
                <w:spacing w:val="-9"/>
              </w:rPr>
              <w:t> </w:t>
            </w:r>
            <w:r>
              <w:rPr>
                <w:spacing w:val="-2"/>
              </w:rPr>
              <w:t>Content</w:t>
            </w:r>
            <w:r>
              <w:rPr/>
              <w:tab/>
            </w:r>
            <w:r>
              <w:rPr>
                <w:spacing w:val="-10"/>
              </w:rPr>
              <w:t>2</w:t>
            </w:r>
          </w:hyperlink>
        </w:p>
        <w:p>
          <w:pPr>
            <w:pStyle w:val="TOC1"/>
            <w:tabs>
              <w:tab w:pos="17389" w:val="right" w:leader="dot"/>
            </w:tabs>
            <w:spacing w:before="121"/>
          </w:pPr>
          <w:hyperlink w:history="true" w:anchor="_bookmark5">
            <w:r>
              <w:rPr/>
              <w:t>Intended</w:t>
            </w:r>
            <w:r>
              <w:rPr>
                <w:spacing w:val="-9"/>
              </w:rPr>
              <w:t> </w:t>
            </w:r>
            <w:r>
              <w:rPr>
                <w:spacing w:val="-5"/>
              </w:rPr>
              <w:t>Use</w:t>
            </w:r>
            <w:r>
              <w:rPr/>
              <w:tab/>
            </w:r>
            <w:r>
              <w:rPr>
                <w:spacing w:val="-10"/>
              </w:rPr>
              <w:t>3</w:t>
            </w:r>
          </w:hyperlink>
        </w:p>
        <w:p>
          <w:pPr>
            <w:pStyle w:val="TOC1"/>
            <w:tabs>
              <w:tab w:pos="17389" w:val="right" w:leader="dot"/>
            </w:tabs>
          </w:pPr>
          <w:hyperlink w:history="true" w:anchor="_bookmark6">
            <w:r>
              <w:rPr/>
              <w:t>Relationships</w:t>
            </w:r>
            <w:r>
              <w:rPr>
                <w:spacing w:val="-13"/>
              </w:rPr>
              <w:t> </w:t>
            </w:r>
            <w:r>
              <w:rPr/>
              <w:t>Among</w:t>
            </w:r>
            <w:r>
              <w:rPr>
                <w:spacing w:val="-12"/>
              </w:rPr>
              <w:t> </w:t>
            </w:r>
            <w:r>
              <w:rPr>
                <w:spacing w:val="-2"/>
              </w:rPr>
              <w:t>Requirements</w:t>
            </w:r>
            <w:r>
              <w:rPr/>
              <w:tab/>
            </w:r>
            <w:r>
              <w:rPr>
                <w:spacing w:val="-10"/>
              </w:rPr>
              <w:t>5</w:t>
            </w:r>
          </w:hyperlink>
        </w:p>
        <w:p>
          <w:pPr>
            <w:pStyle w:val="TOC1"/>
            <w:tabs>
              <w:tab w:pos="17389" w:val="right" w:leader="dot"/>
            </w:tabs>
            <w:spacing w:before="119"/>
          </w:pPr>
          <w:hyperlink w:history="true" w:anchor="_bookmark7">
            <w:r>
              <w:rPr/>
              <w:t>Summary</w:t>
            </w:r>
            <w:r>
              <w:rPr>
                <w:spacing w:val="-6"/>
              </w:rPr>
              <w:t> </w:t>
            </w:r>
            <w:r>
              <w:rPr/>
              <w:t>of</w:t>
            </w:r>
            <w:r>
              <w:rPr>
                <w:spacing w:val="-6"/>
              </w:rPr>
              <w:t> </w:t>
            </w:r>
            <w:r>
              <w:rPr/>
              <w:t>Updates</w:t>
            </w:r>
            <w:r>
              <w:rPr>
                <w:spacing w:val="-5"/>
              </w:rPr>
              <w:t> </w:t>
            </w:r>
            <w:r>
              <w:rPr/>
              <w:t>in</w:t>
            </w:r>
            <w:r>
              <w:rPr>
                <w:spacing w:val="-7"/>
              </w:rPr>
              <w:t> </w:t>
            </w:r>
            <w:r>
              <w:rPr/>
              <w:t>this</w:t>
            </w:r>
            <w:r>
              <w:rPr>
                <w:spacing w:val="-5"/>
              </w:rPr>
              <w:t> </w:t>
            </w:r>
            <w:r>
              <w:rPr>
                <w:spacing w:val="-2"/>
              </w:rPr>
              <w:t>Release</w:t>
            </w:r>
            <w:r>
              <w:rPr/>
              <w:tab/>
            </w:r>
            <w:r>
              <w:rPr>
                <w:spacing w:val="-10"/>
              </w:rPr>
              <w:t>7</w:t>
            </w:r>
          </w:hyperlink>
        </w:p>
        <w:p>
          <w:pPr/>
          <w:r>
            <w:fldChar w:fldCharType="end"/>
          </w:r>
        </w:p>
      </w:sdtContent>
    </w:sdt>
    <w:p>
      <w:pPr>
        <w:spacing w:after="0"/>
        <w:sectPr>
          <w:headerReference w:type="default" r:id="rId8"/>
          <w:footerReference w:type="default" r:id="rId9"/>
          <w:pgSz w:w="20160" w:h="12240" w:orient="landscape"/>
          <w:pgMar w:header="288" w:footer="731" w:top="1380" w:bottom="920" w:left="1320" w:right="1140"/>
        </w:sectPr>
      </w:pPr>
    </w:p>
    <w:p>
      <w:pPr>
        <w:pStyle w:val="Heading1"/>
        <w:spacing w:before="280"/>
      </w:pPr>
      <w:bookmarkStart w:name="Introduction" w:id="1"/>
      <w:bookmarkEnd w:id="1"/>
      <w:r>
        <w:rPr/>
      </w:r>
      <w:bookmarkStart w:name="_bookmark0" w:id="2"/>
      <w:bookmarkEnd w:id="2"/>
      <w:r>
        <w:rPr/>
      </w:r>
      <w:r>
        <w:rPr>
          <w:color w:val="016699"/>
          <w:spacing w:val="-2"/>
        </w:rPr>
        <w:t>Introduction</w:t>
      </w:r>
    </w:p>
    <w:p>
      <w:pPr>
        <w:pStyle w:val="BodyText"/>
        <w:spacing w:line="264" w:lineRule="auto" w:before="40"/>
        <w:ind w:left="119" w:right="319"/>
      </w:pPr>
      <w:r>
        <w:rPr/>
        <w:t>The</w:t>
      </w:r>
      <w:r>
        <w:rPr>
          <w:spacing w:val="-2"/>
        </w:rPr>
        <w:t> </w:t>
      </w:r>
      <w:r>
        <w:rPr/>
        <w:t>Federal</w:t>
      </w:r>
      <w:r>
        <w:rPr>
          <w:spacing w:val="-2"/>
        </w:rPr>
        <w:t> </w:t>
      </w:r>
      <w:r>
        <w:rPr/>
        <w:t>Financial</w:t>
      </w:r>
      <w:r>
        <w:rPr>
          <w:spacing w:val="-1"/>
        </w:rPr>
        <w:t> </w:t>
      </w:r>
      <w:r>
        <w:rPr/>
        <w:t>Management</w:t>
      </w:r>
      <w:r>
        <w:rPr>
          <w:spacing w:val="-2"/>
        </w:rPr>
        <w:t> </w:t>
      </w:r>
      <w:r>
        <w:rPr/>
        <w:t>(FFM)</w:t>
      </w:r>
      <w:r>
        <w:rPr>
          <w:spacing w:val="-4"/>
        </w:rPr>
        <w:t> </w:t>
      </w:r>
      <w:r>
        <w:rPr/>
        <w:t>Business</w:t>
      </w:r>
      <w:r>
        <w:rPr>
          <w:spacing w:val="-2"/>
        </w:rPr>
        <w:t> </w:t>
      </w:r>
      <w:r>
        <w:rPr/>
        <w:t>Capabilities</w:t>
      </w:r>
      <w:r>
        <w:rPr>
          <w:spacing w:val="-1"/>
        </w:rPr>
        <w:t> </w:t>
      </w:r>
      <w:r>
        <w:rPr/>
        <w:t>are</w:t>
      </w:r>
      <w:r>
        <w:rPr>
          <w:spacing w:val="-2"/>
        </w:rPr>
        <w:t> </w:t>
      </w:r>
      <w:r>
        <w:rPr/>
        <w:t>part</w:t>
      </w:r>
      <w:r>
        <w:rPr>
          <w:spacing w:val="-1"/>
        </w:rPr>
        <w:t> </w:t>
      </w:r>
      <w:r>
        <w:rPr/>
        <w:t>of</w:t>
      </w:r>
      <w:r>
        <w:rPr>
          <w:spacing w:val="-3"/>
        </w:rPr>
        <w:t> </w:t>
      </w:r>
      <w:r>
        <w:rPr/>
        <w:t>the</w:t>
      </w:r>
      <w:r>
        <w:rPr>
          <w:spacing w:val="-2"/>
        </w:rPr>
        <w:t> </w:t>
      </w:r>
      <w:r>
        <w:rPr/>
        <w:t>Federal</w:t>
      </w:r>
      <w:r>
        <w:rPr>
          <w:spacing w:val="-1"/>
        </w:rPr>
        <w:t> </w:t>
      </w:r>
      <w:r>
        <w:rPr/>
        <w:t>Integrated</w:t>
      </w:r>
      <w:r>
        <w:rPr>
          <w:spacing w:val="-3"/>
        </w:rPr>
        <w:t> </w:t>
      </w:r>
      <w:r>
        <w:rPr/>
        <w:t>Business</w:t>
      </w:r>
      <w:r>
        <w:rPr>
          <w:spacing w:val="-2"/>
        </w:rPr>
        <w:t> </w:t>
      </w:r>
      <w:r>
        <w:rPr/>
        <w:t>Framework</w:t>
      </w:r>
      <w:r>
        <w:rPr>
          <w:spacing w:val="-2"/>
        </w:rPr>
        <w:t> </w:t>
      </w:r>
      <w:r>
        <w:rPr/>
        <w:t>(FIBF).</w:t>
      </w:r>
      <w:r>
        <w:rPr>
          <w:spacing w:val="-1"/>
        </w:rPr>
        <w:t> </w:t>
      </w:r>
      <w:r>
        <w:rPr/>
        <w:t>In</w:t>
      </w:r>
      <w:r>
        <w:rPr>
          <w:spacing w:val="-3"/>
        </w:rPr>
        <w:t> </w:t>
      </w:r>
      <w:r>
        <w:rPr/>
        <w:t>the</w:t>
      </w:r>
      <w:r>
        <w:rPr>
          <w:spacing w:val="-2"/>
        </w:rPr>
        <w:t> </w:t>
      </w:r>
      <w:r>
        <w:rPr/>
        <w:t>FFM</w:t>
      </w:r>
      <w:r>
        <w:rPr>
          <w:spacing w:val="-1"/>
        </w:rPr>
        <w:t> </w:t>
      </w:r>
      <w:r>
        <w:rPr/>
        <w:t>Functional</w:t>
      </w:r>
      <w:r>
        <w:rPr>
          <w:spacing w:val="-2"/>
        </w:rPr>
        <w:t> </w:t>
      </w:r>
      <w:r>
        <w:rPr/>
        <w:t>Area,</w:t>
      </w:r>
      <w:r>
        <w:rPr>
          <w:spacing w:val="-2"/>
        </w:rPr>
        <w:t> </w:t>
      </w:r>
      <w:r>
        <w:rPr/>
        <w:t>FIBF Business Capabilities are documented as Federal Financial Management System Requirements (FFMSRs). The FIBF is a model that enables the Federal government to coordinate and document common business needs across agencies, focusing on outcomes, data, and cross-functional end-to-end business processes. FIBF can be used to drive performance discussions and investment decisions, as a model for acquiring and implementing government-wide solutions, and to establish roles and responsibilities for end-to-end process service delivery. In the Federal Financial Management (FFM) Functional Area, the FFM FIBF documents are included in the Financial Management Capability Framework (FMCF) that provides the common set of standards and capabilities that are the foundation for all offerings in the Financial Management (FM) Quality Service Management Office (QSMO) Marketplace.</w:t>
      </w:r>
    </w:p>
    <w:p>
      <w:pPr>
        <w:pStyle w:val="BodyText"/>
        <w:rPr>
          <w:sz w:val="20"/>
        </w:rPr>
      </w:pPr>
    </w:p>
    <w:p>
      <w:pPr>
        <w:pStyle w:val="BodyText"/>
        <w:spacing w:before="1"/>
        <w:rPr>
          <w:sz w:val="25"/>
        </w:rPr>
      </w:pPr>
      <w:r>
        <w:rPr/>
        <w:drawing>
          <wp:anchor distT="0" distB="0" distL="0" distR="0" allowOverlap="1" layoutInCell="1" locked="0" behindDoc="0" simplePos="0" relativeHeight="0">
            <wp:simplePos x="0" y="0"/>
            <wp:positionH relativeFrom="page">
              <wp:posOffset>4743450</wp:posOffset>
            </wp:positionH>
            <wp:positionV relativeFrom="paragraph">
              <wp:posOffset>198943</wp:posOffset>
            </wp:positionV>
            <wp:extent cx="3309910" cy="2964370"/>
            <wp:effectExtent l="0" t="0" r="0" b="0"/>
            <wp:wrapTopAndBottom/>
            <wp:docPr id="7" name="image3.png" descr="FMCF Capability Framework (FMCF) Standards and Capabilities. Components of the FFM FIBF include: Box 1 - 1. FFM Functions and Activities. Box 2 - FFM Business Use Cases. 3. FFM Business Capabilities (FFMSRs). 4. FFM Business Data Elements. Extensions to FFM FIBF include: 5. Core FS Pre-Built Business Reports. 6. Core FS Pre-Built Business Information Exchanges (BIEs). 7. FM Technology Design and Operation Capabilities. 8. FM Solution/Service Evaluation Criteria. Both a Component of the FFM FIBF and extension to the FFM FIBF. 9. FM Provider Service - FFM Service Measures and CYB, ERM, ITS Service Measures. "/>
            <wp:cNvGraphicFramePr>
              <a:graphicFrameLocks noChangeAspect="1"/>
            </wp:cNvGraphicFramePr>
            <a:graphic>
              <a:graphicData uri="http://schemas.openxmlformats.org/drawingml/2006/picture">
                <pic:pic>
                  <pic:nvPicPr>
                    <pic:cNvPr id="8" name="image3.png"/>
                    <pic:cNvPicPr/>
                  </pic:nvPicPr>
                  <pic:blipFill>
                    <a:blip r:embed="rId12" cstate="print"/>
                    <a:stretch>
                      <a:fillRect/>
                    </a:stretch>
                  </pic:blipFill>
                  <pic:spPr>
                    <a:xfrm>
                      <a:off x="0" y="0"/>
                      <a:ext cx="3309910" cy="2964370"/>
                    </a:xfrm>
                    <a:prstGeom prst="rect">
                      <a:avLst/>
                    </a:prstGeom>
                  </pic:spPr>
                </pic:pic>
              </a:graphicData>
            </a:graphic>
          </wp:anchor>
        </w:drawing>
      </w:r>
    </w:p>
    <w:p>
      <w:pPr>
        <w:pStyle w:val="BodyText"/>
        <w:spacing w:before="155"/>
        <w:ind w:left="120"/>
      </w:pPr>
      <w:r>
        <w:rPr/>
        <w:t>Refer</w:t>
      </w:r>
      <w:r>
        <w:rPr>
          <w:spacing w:val="-3"/>
        </w:rPr>
        <w:t> </w:t>
      </w:r>
      <w:r>
        <w:rPr/>
        <w:t>to</w:t>
      </w:r>
      <w:r>
        <w:rPr>
          <w:spacing w:val="-2"/>
        </w:rPr>
        <w:t> </w:t>
      </w:r>
      <w:r>
        <w:rPr/>
        <w:t>the</w:t>
      </w:r>
      <w:r>
        <w:rPr>
          <w:spacing w:val="-3"/>
        </w:rPr>
        <w:t> </w:t>
      </w:r>
      <w:r>
        <w:rPr/>
        <w:t>Guide</w:t>
      </w:r>
      <w:r>
        <w:rPr>
          <w:spacing w:val="-2"/>
        </w:rPr>
        <w:t> </w:t>
      </w:r>
      <w:r>
        <w:rPr/>
        <w:t>to</w:t>
      </w:r>
      <w:r>
        <w:rPr>
          <w:spacing w:val="-3"/>
        </w:rPr>
        <w:t> </w:t>
      </w:r>
      <w:r>
        <w:rPr/>
        <w:t>the</w:t>
      </w:r>
      <w:r>
        <w:rPr>
          <w:spacing w:val="-3"/>
        </w:rPr>
        <w:t> </w:t>
      </w:r>
      <w:r>
        <w:rPr/>
        <w:t>FM</w:t>
      </w:r>
      <w:r>
        <w:rPr>
          <w:spacing w:val="-3"/>
        </w:rPr>
        <w:t> </w:t>
      </w:r>
      <w:r>
        <w:rPr/>
        <w:t>QSMO</w:t>
      </w:r>
      <w:r>
        <w:rPr>
          <w:spacing w:val="-4"/>
        </w:rPr>
        <w:t> </w:t>
      </w:r>
      <w:r>
        <w:rPr/>
        <w:t>Marketplace</w:t>
      </w:r>
      <w:r>
        <w:rPr>
          <w:spacing w:val="-2"/>
        </w:rPr>
        <w:t> </w:t>
      </w:r>
      <w:r>
        <w:rPr/>
        <w:t>for</w:t>
      </w:r>
      <w:r>
        <w:rPr>
          <w:spacing w:val="-2"/>
        </w:rPr>
        <w:t> </w:t>
      </w:r>
      <w:r>
        <w:rPr/>
        <w:t>a</w:t>
      </w:r>
      <w:r>
        <w:rPr>
          <w:spacing w:val="-4"/>
        </w:rPr>
        <w:t> </w:t>
      </w:r>
      <w:r>
        <w:rPr/>
        <w:t>description</w:t>
      </w:r>
      <w:r>
        <w:rPr>
          <w:spacing w:val="-1"/>
        </w:rPr>
        <w:t> </w:t>
      </w:r>
      <w:r>
        <w:rPr/>
        <w:t>of</w:t>
      </w:r>
      <w:r>
        <w:rPr>
          <w:spacing w:val="-3"/>
        </w:rPr>
        <w:t> </w:t>
      </w:r>
      <w:r>
        <w:rPr/>
        <w:t>each</w:t>
      </w:r>
      <w:r>
        <w:rPr>
          <w:spacing w:val="-2"/>
        </w:rPr>
        <w:t> </w:t>
      </w:r>
      <w:r>
        <w:rPr/>
        <w:t>FMCF</w:t>
      </w:r>
      <w:r>
        <w:rPr>
          <w:spacing w:val="-2"/>
        </w:rPr>
        <w:t> </w:t>
      </w:r>
      <w:r>
        <w:rPr/>
        <w:t>component</w:t>
      </w:r>
      <w:r>
        <w:rPr>
          <w:spacing w:val="-3"/>
        </w:rPr>
        <w:t> </w:t>
      </w:r>
      <w:r>
        <w:rPr/>
        <w:t>and</w:t>
      </w:r>
      <w:r>
        <w:rPr>
          <w:spacing w:val="-2"/>
        </w:rPr>
        <w:t> </w:t>
      </w:r>
      <w:r>
        <w:rPr/>
        <w:t>how</w:t>
      </w:r>
      <w:r>
        <w:rPr>
          <w:spacing w:val="-3"/>
        </w:rPr>
        <w:t> </w:t>
      </w:r>
      <w:r>
        <w:rPr/>
        <w:t>the</w:t>
      </w:r>
      <w:r>
        <w:rPr>
          <w:spacing w:val="-2"/>
        </w:rPr>
        <w:t> </w:t>
      </w:r>
      <w:r>
        <w:rPr/>
        <w:t>components</w:t>
      </w:r>
      <w:r>
        <w:rPr>
          <w:spacing w:val="-2"/>
        </w:rPr>
        <w:t> </w:t>
      </w:r>
      <w:r>
        <w:rPr/>
        <w:t>relate</w:t>
      </w:r>
      <w:r>
        <w:rPr>
          <w:spacing w:val="-3"/>
        </w:rPr>
        <w:t> </w:t>
      </w:r>
      <w:r>
        <w:rPr/>
        <w:t>to</w:t>
      </w:r>
      <w:r>
        <w:rPr>
          <w:spacing w:val="-2"/>
        </w:rPr>
        <w:t> </w:t>
      </w:r>
      <w:r>
        <w:rPr/>
        <w:t>each</w:t>
      </w:r>
      <w:r>
        <w:rPr>
          <w:spacing w:val="-2"/>
        </w:rPr>
        <w:t> other.</w:t>
      </w:r>
    </w:p>
    <w:p>
      <w:pPr>
        <w:spacing w:after="0"/>
        <w:sectPr>
          <w:headerReference w:type="default" r:id="rId10"/>
          <w:footerReference w:type="default" r:id="rId11"/>
          <w:pgSz w:w="20160" w:h="12240" w:orient="landscape"/>
          <w:pgMar w:header="288" w:footer="728" w:top="1380" w:bottom="920" w:left="1320" w:right="1140"/>
          <w:pgNumType w:start="1"/>
        </w:sectPr>
      </w:pPr>
    </w:p>
    <w:p>
      <w:pPr>
        <w:pStyle w:val="Heading1"/>
      </w:pPr>
      <w:bookmarkStart w:name="Background and Purpose" w:id="3"/>
      <w:bookmarkEnd w:id="3"/>
      <w:r>
        <w:rPr/>
      </w:r>
      <w:bookmarkStart w:name="_bookmark1" w:id="4"/>
      <w:bookmarkEnd w:id="4"/>
      <w:r>
        <w:rPr/>
      </w:r>
      <w:r>
        <w:rPr>
          <w:color w:val="016699"/>
        </w:rPr>
        <w:t>Background</w:t>
      </w:r>
      <w:r>
        <w:rPr>
          <w:color w:val="016699"/>
          <w:spacing w:val="-2"/>
        </w:rPr>
        <w:t> </w:t>
      </w:r>
      <w:r>
        <w:rPr>
          <w:color w:val="016699"/>
        </w:rPr>
        <w:t>and</w:t>
      </w:r>
      <w:r>
        <w:rPr>
          <w:color w:val="016699"/>
          <w:spacing w:val="-2"/>
        </w:rPr>
        <w:t> Purpose</w:t>
      </w:r>
    </w:p>
    <w:p>
      <w:pPr>
        <w:pStyle w:val="BodyText"/>
        <w:spacing w:line="264" w:lineRule="auto" w:before="40"/>
        <w:ind w:left="120" w:right="319"/>
      </w:pPr>
      <w:r>
        <w:rPr/>
        <w:t>The</w:t>
      </w:r>
      <w:r>
        <w:rPr>
          <w:spacing w:val="-3"/>
        </w:rPr>
        <w:t> </w:t>
      </w:r>
      <w:r>
        <w:rPr/>
        <w:t>Federal</w:t>
      </w:r>
      <w:r>
        <w:rPr>
          <w:spacing w:val="-2"/>
        </w:rPr>
        <w:t> </w:t>
      </w:r>
      <w:r>
        <w:rPr/>
        <w:t>Financial</w:t>
      </w:r>
      <w:r>
        <w:rPr>
          <w:spacing w:val="-1"/>
        </w:rPr>
        <w:t> </w:t>
      </w:r>
      <w:r>
        <w:rPr/>
        <w:t>Management</w:t>
      </w:r>
      <w:r>
        <w:rPr>
          <w:spacing w:val="-2"/>
        </w:rPr>
        <w:t> </w:t>
      </w:r>
      <w:r>
        <w:rPr/>
        <w:t>System</w:t>
      </w:r>
      <w:hyperlink w:history="true" w:anchor="_bookmark3">
        <w:r>
          <w:rPr>
            <w:vertAlign w:val="superscript"/>
          </w:rPr>
          <w:t>1</w:t>
        </w:r>
      </w:hyperlink>
      <w:r>
        <w:rPr>
          <w:spacing w:val="-31"/>
          <w:vertAlign w:val="baseline"/>
        </w:rPr>
        <w:t> </w:t>
      </w:r>
      <w:r>
        <w:rPr>
          <w:vertAlign w:val="baseline"/>
        </w:rPr>
        <w:t>Requirements</w:t>
      </w:r>
      <w:r>
        <w:rPr>
          <w:spacing w:val="-2"/>
          <w:vertAlign w:val="baseline"/>
        </w:rPr>
        <w:t> </w:t>
      </w:r>
      <w:r>
        <w:rPr>
          <w:vertAlign w:val="baseline"/>
        </w:rPr>
        <w:t>implement</w:t>
      </w:r>
      <w:r>
        <w:rPr>
          <w:spacing w:val="-2"/>
          <w:vertAlign w:val="baseline"/>
        </w:rPr>
        <w:t> </w:t>
      </w:r>
      <w:r>
        <w:rPr>
          <w:vertAlign w:val="baseline"/>
        </w:rPr>
        <w:t>the</w:t>
      </w:r>
      <w:r>
        <w:rPr>
          <w:spacing w:val="-2"/>
          <w:vertAlign w:val="baseline"/>
        </w:rPr>
        <w:t> </w:t>
      </w:r>
      <w:r>
        <w:rPr>
          <w:vertAlign w:val="baseline"/>
        </w:rPr>
        <w:t>Offi</w:t>
      </w:r>
      <w:bookmarkStart w:name="_bookmark3" w:id="5"/>
      <w:bookmarkEnd w:id="5"/>
      <w:r>
        <w:rPr>
          <w:vertAlign w:val="baseline"/>
        </w:rPr>
        <w:t>ce</w:t>
      </w:r>
      <w:r>
        <w:rPr>
          <w:spacing w:val="-2"/>
          <w:vertAlign w:val="baseline"/>
        </w:rPr>
        <w:t> </w:t>
      </w:r>
      <w:r>
        <w:rPr>
          <w:vertAlign w:val="baseline"/>
        </w:rPr>
        <w:t>of</w:t>
      </w:r>
      <w:r>
        <w:rPr>
          <w:spacing w:val="-2"/>
          <w:vertAlign w:val="baseline"/>
        </w:rPr>
        <w:t> </w:t>
      </w:r>
      <w:bookmarkStart w:name="_bookmark2" w:id="6"/>
      <w:bookmarkEnd w:id="6"/>
      <w:r>
        <w:rPr>
          <w:vertAlign w:val="baseline"/>
        </w:rPr>
        <w:t>M</w:t>
      </w:r>
      <w:r>
        <w:rPr>
          <w:vertAlign w:val="baseline"/>
        </w:rPr>
        <w:t>anagement</w:t>
      </w:r>
      <w:r>
        <w:rPr>
          <w:spacing w:val="-2"/>
          <w:vertAlign w:val="baseline"/>
        </w:rPr>
        <w:t> </w:t>
      </w:r>
      <w:r>
        <w:rPr>
          <w:vertAlign w:val="baseline"/>
        </w:rPr>
        <w:t>and</w:t>
      </w:r>
      <w:r>
        <w:rPr>
          <w:spacing w:val="-2"/>
          <w:vertAlign w:val="baseline"/>
        </w:rPr>
        <w:t> </w:t>
      </w:r>
      <w:r>
        <w:rPr>
          <w:vertAlign w:val="baseline"/>
        </w:rPr>
        <w:t>Budget</w:t>
      </w:r>
      <w:r>
        <w:rPr>
          <w:spacing w:val="-2"/>
          <w:vertAlign w:val="baseline"/>
        </w:rPr>
        <w:t> </w:t>
      </w:r>
      <w:r>
        <w:rPr>
          <w:vertAlign w:val="baseline"/>
        </w:rPr>
        <w:t>(OMB)</w:t>
      </w:r>
      <w:r>
        <w:rPr>
          <w:spacing w:val="-1"/>
          <w:vertAlign w:val="baseline"/>
        </w:rPr>
        <w:t> </w:t>
      </w:r>
      <w:r>
        <w:rPr>
          <w:vertAlign w:val="baseline"/>
        </w:rPr>
        <w:t>and</w:t>
      </w:r>
      <w:r>
        <w:rPr>
          <w:spacing w:val="-2"/>
          <w:vertAlign w:val="baseline"/>
        </w:rPr>
        <w:t> </w:t>
      </w:r>
      <w:r>
        <w:rPr>
          <w:vertAlign w:val="baseline"/>
        </w:rPr>
        <w:t>the</w:t>
      </w:r>
      <w:r>
        <w:rPr>
          <w:spacing w:val="-2"/>
          <w:vertAlign w:val="baseline"/>
        </w:rPr>
        <w:t> </w:t>
      </w:r>
      <w:r>
        <w:rPr>
          <w:vertAlign w:val="baseline"/>
        </w:rPr>
        <w:t>Department</w:t>
      </w:r>
      <w:r>
        <w:rPr>
          <w:spacing w:val="-2"/>
          <w:vertAlign w:val="baseline"/>
        </w:rPr>
        <w:t> </w:t>
      </w:r>
      <w:r>
        <w:rPr>
          <w:vertAlign w:val="baseline"/>
        </w:rPr>
        <w:t>of</w:t>
      </w:r>
      <w:r>
        <w:rPr>
          <w:spacing w:val="-3"/>
          <w:vertAlign w:val="baseline"/>
        </w:rPr>
        <w:t> </w:t>
      </w:r>
      <w:r>
        <w:rPr>
          <w:vertAlign w:val="baseline"/>
        </w:rPr>
        <w:t>the</w:t>
      </w:r>
      <w:r>
        <w:rPr>
          <w:spacing w:val="-2"/>
          <w:vertAlign w:val="baseline"/>
        </w:rPr>
        <w:t> </w:t>
      </w:r>
      <w:r>
        <w:rPr>
          <w:vertAlign w:val="baseline"/>
        </w:rPr>
        <w:t>Treasury (Treasury) objective to help achieve shorter-term, lower-cost, and more incremental financial management system modernization. The requirements are:</w:t>
      </w:r>
    </w:p>
    <w:p>
      <w:pPr>
        <w:pStyle w:val="ListParagraph"/>
        <w:numPr>
          <w:ilvl w:val="0"/>
          <w:numId w:val="1"/>
        </w:numPr>
        <w:tabs>
          <w:tab w:pos="839" w:val="left" w:leader="none"/>
          <w:tab w:pos="840" w:val="left" w:leader="none"/>
        </w:tabs>
        <w:spacing w:line="240" w:lineRule="auto" w:before="119" w:after="0"/>
        <w:ind w:left="840" w:right="0" w:hanging="360"/>
        <w:jc w:val="left"/>
        <w:rPr>
          <w:sz w:val="24"/>
        </w:rPr>
      </w:pPr>
      <w:r>
        <w:rPr>
          <w:sz w:val="24"/>
        </w:rPr>
        <w:t>Focused</w:t>
      </w:r>
      <w:r>
        <w:rPr>
          <w:spacing w:val="-6"/>
          <w:sz w:val="24"/>
        </w:rPr>
        <w:t> </w:t>
      </w:r>
      <w:r>
        <w:rPr>
          <w:sz w:val="24"/>
        </w:rPr>
        <w:t>on</w:t>
      </w:r>
      <w:r>
        <w:rPr>
          <w:spacing w:val="-3"/>
          <w:sz w:val="24"/>
        </w:rPr>
        <w:t> </w:t>
      </w:r>
      <w:r>
        <w:rPr>
          <w:sz w:val="24"/>
        </w:rPr>
        <w:t>business</w:t>
      </w:r>
      <w:r>
        <w:rPr>
          <w:spacing w:val="-3"/>
          <w:sz w:val="24"/>
        </w:rPr>
        <w:t> </w:t>
      </w:r>
      <w:r>
        <w:rPr>
          <w:sz w:val="24"/>
        </w:rPr>
        <w:t>rather</w:t>
      </w:r>
      <w:r>
        <w:rPr>
          <w:spacing w:val="-3"/>
          <w:sz w:val="24"/>
        </w:rPr>
        <w:t> </w:t>
      </w:r>
      <w:r>
        <w:rPr>
          <w:sz w:val="24"/>
        </w:rPr>
        <w:t>than</w:t>
      </w:r>
      <w:r>
        <w:rPr>
          <w:spacing w:val="-4"/>
          <w:sz w:val="24"/>
        </w:rPr>
        <w:t> </w:t>
      </w:r>
      <w:r>
        <w:rPr>
          <w:spacing w:val="-2"/>
          <w:sz w:val="24"/>
        </w:rPr>
        <w:t>technology;</w:t>
      </w:r>
    </w:p>
    <w:p>
      <w:pPr>
        <w:pStyle w:val="ListParagraph"/>
        <w:numPr>
          <w:ilvl w:val="0"/>
          <w:numId w:val="1"/>
        </w:numPr>
        <w:tabs>
          <w:tab w:pos="839" w:val="left" w:leader="none"/>
          <w:tab w:pos="840" w:val="left" w:leader="none"/>
        </w:tabs>
        <w:spacing w:line="261" w:lineRule="auto" w:before="26" w:after="0"/>
        <w:ind w:left="840" w:right="494" w:hanging="360"/>
        <w:jc w:val="left"/>
        <w:rPr>
          <w:sz w:val="24"/>
        </w:rPr>
      </w:pPr>
      <w:r>
        <w:rPr>
          <w:sz w:val="24"/>
        </w:rPr>
        <w:t>Neutral</w:t>
      </w:r>
      <w:r>
        <w:rPr>
          <w:spacing w:val="-3"/>
          <w:sz w:val="24"/>
        </w:rPr>
        <w:t> </w:t>
      </w:r>
      <w:r>
        <w:rPr>
          <w:sz w:val="24"/>
        </w:rPr>
        <w:t>to</w:t>
      </w:r>
      <w:r>
        <w:rPr>
          <w:spacing w:val="-3"/>
          <w:sz w:val="24"/>
        </w:rPr>
        <w:t> </w:t>
      </w:r>
      <w:r>
        <w:rPr>
          <w:sz w:val="24"/>
        </w:rPr>
        <w:t>the</w:t>
      </w:r>
      <w:r>
        <w:rPr>
          <w:spacing w:val="-3"/>
          <w:sz w:val="24"/>
        </w:rPr>
        <w:t> </w:t>
      </w:r>
      <w:r>
        <w:rPr>
          <w:sz w:val="24"/>
        </w:rPr>
        <w:t>system</w:t>
      </w:r>
      <w:r>
        <w:rPr>
          <w:spacing w:val="-4"/>
          <w:sz w:val="24"/>
        </w:rPr>
        <w:t> </w:t>
      </w:r>
      <w:r>
        <w:rPr>
          <w:sz w:val="24"/>
        </w:rPr>
        <w:t>solution</w:t>
      </w:r>
      <w:r>
        <w:rPr>
          <w:spacing w:val="-3"/>
          <w:sz w:val="24"/>
        </w:rPr>
        <w:t> </w:t>
      </w:r>
      <w:r>
        <w:rPr>
          <w:sz w:val="24"/>
        </w:rPr>
        <w:t>[shared</w:t>
      </w:r>
      <w:r>
        <w:rPr>
          <w:spacing w:val="-3"/>
          <w:sz w:val="24"/>
        </w:rPr>
        <w:t> </w:t>
      </w:r>
      <w:r>
        <w:rPr>
          <w:sz w:val="24"/>
        </w:rPr>
        <w:t>federal</w:t>
      </w:r>
      <w:r>
        <w:rPr>
          <w:spacing w:val="-3"/>
          <w:sz w:val="24"/>
        </w:rPr>
        <w:t> </w:t>
      </w:r>
      <w:r>
        <w:rPr>
          <w:sz w:val="24"/>
        </w:rPr>
        <w:t>or</w:t>
      </w:r>
      <w:r>
        <w:rPr>
          <w:spacing w:val="-3"/>
          <w:sz w:val="24"/>
        </w:rPr>
        <w:t> </w:t>
      </w:r>
      <w:r>
        <w:rPr>
          <w:sz w:val="24"/>
        </w:rPr>
        <w:t>commercial</w:t>
      </w:r>
      <w:r>
        <w:rPr>
          <w:spacing w:val="-3"/>
          <w:sz w:val="24"/>
        </w:rPr>
        <w:t> </w:t>
      </w:r>
      <w:r>
        <w:rPr>
          <w:sz w:val="24"/>
        </w:rPr>
        <w:t>service,</w:t>
      </w:r>
      <w:r>
        <w:rPr>
          <w:spacing w:val="-3"/>
          <w:sz w:val="24"/>
        </w:rPr>
        <w:t> </w:t>
      </w:r>
      <w:r>
        <w:rPr>
          <w:sz w:val="24"/>
        </w:rPr>
        <w:t>custom</w:t>
      </w:r>
      <w:r>
        <w:rPr>
          <w:spacing w:val="-3"/>
          <w:sz w:val="24"/>
        </w:rPr>
        <w:t> </w:t>
      </w:r>
      <w:r>
        <w:rPr>
          <w:sz w:val="24"/>
        </w:rPr>
        <w:t>commercial</w:t>
      </w:r>
      <w:r>
        <w:rPr>
          <w:spacing w:val="-3"/>
          <w:sz w:val="24"/>
        </w:rPr>
        <w:t> </w:t>
      </w:r>
      <w:r>
        <w:rPr>
          <w:sz w:val="24"/>
        </w:rPr>
        <w:t>off-the-shelf/government</w:t>
      </w:r>
      <w:r>
        <w:rPr>
          <w:spacing w:val="-3"/>
          <w:sz w:val="24"/>
        </w:rPr>
        <w:t> </w:t>
      </w:r>
      <w:r>
        <w:rPr>
          <w:sz w:val="24"/>
        </w:rPr>
        <w:t>off-the-shelf</w:t>
      </w:r>
      <w:r>
        <w:rPr>
          <w:spacing w:val="-2"/>
          <w:sz w:val="24"/>
        </w:rPr>
        <w:t> </w:t>
      </w:r>
      <w:r>
        <w:rPr>
          <w:sz w:val="24"/>
        </w:rPr>
        <w:t>(COTS/GOTS)</w:t>
      </w:r>
      <w:r>
        <w:rPr>
          <w:spacing w:val="-4"/>
          <w:sz w:val="24"/>
        </w:rPr>
        <w:t> </w:t>
      </w:r>
      <w:r>
        <w:rPr>
          <w:sz w:val="24"/>
        </w:rPr>
        <w:t>technology, automated or manual];</w:t>
      </w:r>
    </w:p>
    <w:p>
      <w:pPr>
        <w:pStyle w:val="ListParagraph"/>
        <w:numPr>
          <w:ilvl w:val="0"/>
          <w:numId w:val="1"/>
        </w:numPr>
        <w:tabs>
          <w:tab w:pos="839" w:val="left" w:leader="none"/>
          <w:tab w:pos="840" w:val="left" w:leader="none"/>
        </w:tabs>
        <w:spacing w:line="240" w:lineRule="auto" w:before="2" w:after="0"/>
        <w:ind w:left="840" w:right="0" w:hanging="360"/>
        <w:jc w:val="left"/>
        <w:rPr>
          <w:sz w:val="24"/>
        </w:rPr>
      </w:pPr>
      <w:r>
        <w:rPr>
          <w:sz w:val="24"/>
        </w:rPr>
        <w:t>Defined</w:t>
      </w:r>
      <w:r>
        <w:rPr>
          <w:spacing w:val="-7"/>
          <w:sz w:val="24"/>
        </w:rPr>
        <w:t> </w:t>
      </w:r>
      <w:r>
        <w:rPr>
          <w:sz w:val="24"/>
        </w:rPr>
        <w:t>as</w:t>
      </w:r>
      <w:r>
        <w:rPr>
          <w:spacing w:val="-3"/>
          <w:sz w:val="24"/>
        </w:rPr>
        <w:t> </w:t>
      </w:r>
      <w:r>
        <w:rPr>
          <w:sz w:val="24"/>
        </w:rPr>
        <w:t>federal</w:t>
      </w:r>
      <w:r>
        <w:rPr>
          <w:spacing w:val="-4"/>
          <w:sz w:val="24"/>
        </w:rPr>
        <w:t> </w:t>
      </w:r>
      <w:r>
        <w:rPr>
          <w:sz w:val="24"/>
        </w:rPr>
        <w:t>government</w:t>
      </w:r>
      <w:r>
        <w:rPr>
          <w:spacing w:val="-4"/>
          <w:sz w:val="24"/>
        </w:rPr>
        <w:t> </w:t>
      </w:r>
      <w:r>
        <w:rPr>
          <w:sz w:val="24"/>
        </w:rPr>
        <w:t>unique</w:t>
      </w:r>
      <w:r>
        <w:rPr>
          <w:spacing w:val="-4"/>
          <w:sz w:val="24"/>
        </w:rPr>
        <w:t> </w:t>
      </w:r>
      <w:r>
        <w:rPr>
          <w:sz w:val="24"/>
        </w:rPr>
        <w:t>financial</w:t>
      </w:r>
      <w:r>
        <w:rPr>
          <w:spacing w:val="-4"/>
          <w:sz w:val="24"/>
        </w:rPr>
        <w:t> </w:t>
      </w:r>
      <w:r>
        <w:rPr>
          <w:sz w:val="24"/>
        </w:rPr>
        <w:t>management</w:t>
      </w:r>
      <w:r>
        <w:rPr>
          <w:spacing w:val="-4"/>
          <w:sz w:val="24"/>
        </w:rPr>
        <w:t> </w:t>
      </w:r>
      <w:r>
        <w:rPr>
          <w:sz w:val="24"/>
        </w:rPr>
        <w:t>data</w:t>
      </w:r>
      <w:r>
        <w:rPr>
          <w:spacing w:val="-4"/>
          <w:sz w:val="24"/>
        </w:rPr>
        <w:t> </w:t>
      </w:r>
      <w:r>
        <w:rPr>
          <w:sz w:val="24"/>
        </w:rPr>
        <w:t>input,</w:t>
      </w:r>
      <w:r>
        <w:rPr>
          <w:spacing w:val="-3"/>
          <w:sz w:val="24"/>
        </w:rPr>
        <w:t> </w:t>
      </w:r>
      <w:r>
        <w:rPr>
          <w:sz w:val="24"/>
        </w:rPr>
        <w:t>business</w:t>
      </w:r>
      <w:r>
        <w:rPr>
          <w:spacing w:val="-4"/>
          <w:sz w:val="24"/>
        </w:rPr>
        <w:t> </w:t>
      </w:r>
      <w:r>
        <w:rPr>
          <w:sz w:val="24"/>
        </w:rPr>
        <w:t>process,</w:t>
      </w:r>
      <w:r>
        <w:rPr>
          <w:spacing w:val="-3"/>
          <w:sz w:val="24"/>
        </w:rPr>
        <w:t> </w:t>
      </w:r>
      <w:r>
        <w:rPr>
          <w:sz w:val="24"/>
        </w:rPr>
        <w:t>and</w:t>
      </w:r>
      <w:r>
        <w:rPr>
          <w:spacing w:val="-4"/>
          <w:sz w:val="24"/>
        </w:rPr>
        <w:t> </w:t>
      </w:r>
      <w:r>
        <w:rPr>
          <w:sz w:val="24"/>
        </w:rPr>
        <w:t>data</w:t>
      </w:r>
      <w:r>
        <w:rPr>
          <w:spacing w:val="-4"/>
          <w:sz w:val="24"/>
        </w:rPr>
        <w:t> </w:t>
      </w:r>
      <w:r>
        <w:rPr>
          <w:spacing w:val="-2"/>
          <w:sz w:val="24"/>
        </w:rPr>
        <w:t>output;</w:t>
      </w:r>
    </w:p>
    <w:p>
      <w:pPr>
        <w:pStyle w:val="ListParagraph"/>
        <w:numPr>
          <w:ilvl w:val="0"/>
          <w:numId w:val="1"/>
        </w:numPr>
        <w:tabs>
          <w:tab w:pos="839" w:val="left" w:leader="none"/>
          <w:tab w:pos="840" w:val="left" w:leader="none"/>
        </w:tabs>
        <w:spacing w:line="261" w:lineRule="auto" w:before="25" w:after="0"/>
        <w:ind w:left="840" w:right="852" w:hanging="360"/>
        <w:jc w:val="left"/>
        <w:rPr>
          <w:sz w:val="24"/>
        </w:rPr>
      </w:pPr>
      <w:r>
        <w:rPr>
          <w:sz w:val="24"/>
        </w:rPr>
        <w:t>Applicable</w:t>
      </w:r>
      <w:r>
        <w:rPr>
          <w:spacing w:val="-2"/>
          <w:sz w:val="24"/>
        </w:rPr>
        <w:t> </w:t>
      </w:r>
      <w:r>
        <w:rPr>
          <w:sz w:val="24"/>
        </w:rPr>
        <w:t>to</w:t>
      </w:r>
      <w:r>
        <w:rPr>
          <w:spacing w:val="-2"/>
          <w:sz w:val="24"/>
        </w:rPr>
        <w:t> </w:t>
      </w:r>
      <w:r>
        <w:rPr>
          <w:sz w:val="24"/>
        </w:rPr>
        <w:t>both</w:t>
      </w:r>
      <w:r>
        <w:rPr>
          <w:spacing w:val="-2"/>
          <w:sz w:val="24"/>
        </w:rPr>
        <w:t> </w:t>
      </w:r>
      <w:r>
        <w:rPr>
          <w:sz w:val="24"/>
        </w:rPr>
        <w:t>administrative</w:t>
      </w:r>
      <w:r>
        <w:rPr>
          <w:spacing w:val="-2"/>
          <w:sz w:val="24"/>
        </w:rPr>
        <w:t> </w:t>
      </w:r>
      <w:r>
        <w:rPr>
          <w:sz w:val="24"/>
        </w:rPr>
        <w:t>systems</w:t>
      </w:r>
      <w:r>
        <w:rPr>
          <w:spacing w:val="-3"/>
          <w:sz w:val="24"/>
        </w:rPr>
        <w:t> </w:t>
      </w:r>
      <w:r>
        <w:rPr>
          <w:sz w:val="24"/>
        </w:rPr>
        <w:t>as</w:t>
      </w:r>
      <w:r>
        <w:rPr>
          <w:spacing w:val="-2"/>
          <w:sz w:val="24"/>
        </w:rPr>
        <w:t> </w:t>
      </w:r>
      <w:r>
        <w:rPr>
          <w:sz w:val="24"/>
        </w:rPr>
        <w:t>well</w:t>
      </w:r>
      <w:r>
        <w:rPr>
          <w:spacing w:val="-2"/>
          <w:sz w:val="24"/>
        </w:rPr>
        <w:t> </w:t>
      </w:r>
      <w:r>
        <w:rPr>
          <w:sz w:val="24"/>
        </w:rPr>
        <w:t>as</w:t>
      </w:r>
      <w:r>
        <w:rPr>
          <w:spacing w:val="-2"/>
          <w:sz w:val="24"/>
        </w:rPr>
        <w:t> </w:t>
      </w:r>
      <w:r>
        <w:rPr>
          <w:sz w:val="24"/>
        </w:rPr>
        <w:t>program</w:t>
      </w:r>
      <w:r>
        <w:rPr>
          <w:spacing w:val="-2"/>
          <w:sz w:val="24"/>
        </w:rPr>
        <w:t> </w:t>
      </w:r>
      <w:r>
        <w:rPr>
          <w:sz w:val="24"/>
        </w:rPr>
        <w:t>operation</w:t>
      </w:r>
      <w:r>
        <w:rPr>
          <w:spacing w:val="-2"/>
          <w:sz w:val="24"/>
        </w:rPr>
        <w:t> </w:t>
      </w:r>
      <w:r>
        <w:rPr>
          <w:sz w:val="24"/>
        </w:rPr>
        <w:t>systems</w:t>
      </w:r>
      <w:r>
        <w:rPr>
          <w:spacing w:val="-2"/>
          <w:sz w:val="24"/>
        </w:rPr>
        <w:t> </w:t>
      </w:r>
      <w:r>
        <w:rPr>
          <w:sz w:val="24"/>
        </w:rPr>
        <w:t>that</w:t>
      </w:r>
      <w:r>
        <w:rPr>
          <w:spacing w:val="-3"/>
          <w:sz w:val="24"/>
        </w:rPr>
        <w:t> </w:t>
      </w:r>
      <w:r>
        <w:rPr>
          <w:sz w:val="24"/>
        </w:rPr>
        <w:t>perform</w:t>
      </w:r>
      <w:r>
        <w:rPr>
          <w:spacing w:val="-3"/>
          <w:sz w:val="24"/>
        </w:rPr>
        <w:t> </w:t>
      </w:r>
      <w:r>
        <w:rPr>
          <w:sz w:val="24"/>
        </w:rPr>
        <w:t>financial</w:t>
      </w:r>
      <w:r>
        <w:rPr>
          <w:spacing w:val="-2"/>
          <w:sz w:val="24"/>
        </w:rPr>
        <w:t> </w:t>
      </w:r>
      <w:r>
        <w:rPr>
          <w:sz w:val="24"/>
        </w:rPr>
        <w:t>management</w:t>
      </w:r>
      <w:r>
        <w:rPr>
          <w:spacing w:val="-2"/>
          <w:sz w:val="24"/>
        </w:rPr>
        <w:t> </w:t>
      </w:r>
      <w:r>
        <w:rPr>
          <w:sz w:val="24"/>
        </w:rPr>
        <w:t>business</w:t>
      </w:r>
      <w:r>
        <w:rPr>
          <w:spacing w:val="-2"/>
          <w:sz w:val="24"/>
        </w:rPr>
        <w:t> </w:t>
      </w:r>
      <w:r>
        <w:rPr>
          <w:sz w:val="24"/>
        </w:rPr>
        <w:t>processes</w:t>
      </w:r>
      <w:r>
        <w:rPr>
          <w:spacing w:val="-2"/>
          <w:sz w:val="24"/>
        </w:rPr>
        <w:t> </w:t>
      </w:r>
      <w:r>
        <w:rPr>
          <w:sz w:val="24"/>
        </w:rPr>
        <w:t>(that</w:t>
      </w:r>
      <w:r>
        <w:rPr>
          <w:spacing w:val="-2"/>
          <w:sz w:val="24"/>
        </w:rPr>
        <w:t> </w:t>
      </w:r>
      <w:r>
        <w:rPr>
          <w:sz w:val="24"/>
        </w:rPr>
        <w:t>is,</w:t>
      </w:r>
      <w:r>
        <w:rPr>
          <w:spacing w:val="-3"/>
          <w:sz w:val="24"/>
        </w:rPr>
        <w:t> </w:t>
      </w:r>
      <w:r>
        <w:rPr>
          <w:sz w:val="24"/>
        </w:rPr>
        <w:t>mixed systems); and</w:t>
      </w:r>
    </w:p>
    <w:p>
      <w:pPr>
        <w:pStyle w:val="ListParagraph"/>
        <w:numPr>
          <w:ilvl w:val="0"/>
          <w:numId w:val="1"/>
        </w:numPr>
        <w:tabs>
          <w:tab w:pos="839" w:val="left" w:leader="none"/>
          <w:tab w:pos="840" w:val="left" w:leader="none"/>
        </w:tabs>
        <w:spacing w:line="240" w:lineRule="auto" w:before="3" w:after="0"/>
        <w:ind w:left="840" w:right="0" w:hanging="360"/>
        <w:jc w:val="left"/>
        <w:rPr>
          <w:sz w:val="24"/>
        </w:rPr>
      </w:pPr>
      <w:r>
        <w:rPr>
          <w:sz w:val="24"/>
        </w:rPr>
        <w:t>Referenced</w:t>
      </w:r>
      <w:r>
        <w:rPr>
          <w:spacing w:val="-5"/>
          <w:sz w:val="24"/>
        </w:rPr>
        <w:t> </w:t>
      </w:r>
      <w:r>
        <w:rPr>
          <w:sz w:val="24"/>
        </w:rPr>
        <w:t>to</w:t>
      </w:r>
      <w:r>
        <w:rPr>
          <w:spacing w:val="-4"/>
          <w:sz w:val="24"/>
        </w:rPr>
        <w:t> </w:t>
      </w:r>
      <w:r>
        <w:rPr>
          <w:sz w:val="24"/>
        </w:rPr>
        <w:t>their</w:t>
      </w:r>
      <w:r>
        <w:rPr>
          <w:spacing w:val="-5"/>
          <w:sz w:val="24"/>
        </w:rPr>
        <w:t> </w:t>
      </w:r>
      <w:r>
        <w:rPr>
          <w:sz w:val="24"/>
        </w:rPr>
        <w:t>federal</w:t>
      </w:r>
      <w:r>
        <w:rPr>
          <w:spacing w:val="-5"/>
          <w:sz w:val="24"/>
        </w:rPr>
        <w:t> </w:t>
      </w:r>
      <w:r>
        <w:rPr>
          <w:sz w:val="24"/>
        </w:rPr>
        <w:t>government</w:t>
      </w:r>
      <w:r>
        <w:rPr>
          <w:spacing w:val="-4"/>
          <w:sz w:val="24"/>
        </w:rPr>
        <w:t> </w:t>
      </w:r>
      <w:r>
        <w:rPr>
          <w:sz w:val="24"/>
        </w:rPr>
        <w:t>authoritative</w:t>
      </w:r>
      <w:r>
        <w:rPr>
          <w:spacing w:val="-4"/>
          <w:sz w:val="24"/>
        </w:rPr>
        <w:t> </w:t>
      </w:r>
      <w:r>
        <w:rPr>
          <w:spacing w:val="-2"/>
          <w:sz w:val="24"/>
        </w:rPr>
        <w:t>sources.</w:t>
      </w:r>
    </w:p>
    <w:p>
      <w:pPr>
        <w:pStyle w:val="BodyText"/>
        <w:rPr>
          <w:sz w:val="37"/>
        </w:rPr>
      </w:pPr>
    </w:p>
    <w:p>
      <w:pPr>
        <w:pStyle w:val="Heading1"/>
      </w:pPr>
      <w:bookmarkStart w:name="Organization and Content" w:id="7"/>
      <w:bookmarkEnd w:id="7"/>
      <w:r>
        <w:rPr/>
      </w:r>
      <w:bookmarkStart w:name="_bookmark4" w:id="8"/>
      <w:bookmarkEnd w:id="8"/>
      <w:r>
        <w:rPr/>
      </w:r>
      <w:r>
        <w:rPr>
          <w:color w:val="016699"/>
        </w:rPr>
        <w:t>Organization</w:t>
      </w:r>
      <w:r>
        <w:rPr>
          <w:color w:val="016699"/>
          <w:spacing w:val="-3"/>
        </w:rPr>
        <w:t> </w:t>
      </w:r>
      <w:r>
        <w:rPr>
          <w:color w:val="016699"/>
        </w:rPr>
        <w:t>and</w:t>
      </w:r>
      <w:r>
        <w:rPr>
          <w:color w:val="016699"/>
          <w:spacing w:val="-3"/>
        </w:rPr>
        <w:t> </w:t>
      </w:r>
      <w:r>
        <w:rPr>
          <w:color w:val="016699"/>
          <w:spacing w:val="-2"/>
        </w:rPr>
        <w:t>Content</w:t>
      </w:r>
    </w:p>
    <w:p>
      <w:pPr>
        <w:pStyle w:val="BodyText"/>
        <w:spacing w:before="41"/>
        <w:ind w:left="120"/>
      </w:pPr>
      <w:r>
        <w:rPr/>
        <w:t>The</w:t>
      </w:r>
      <w:r>
        <w:rPr>
          <w:spacing w:val="-6"/>
        </w:rPr>
        <w:t> </w:t>
      </w:r>
      <w:r>
        <w:rPr/>
        <w:t>requirements</w:t>
      </w:r>
      <w:r>
        <w:rPr>
          <w:spacing w:val="-3"/>
        </w:rPr>
        <w:t> </w:t>
      </w:r>
      <w:r>
        <w:rPr/>
        <w:t>in</w:t>
      </w:r>
      <w:r>
        <w:rPr>
          <w:spacing w:val="-3"/>
        </w:rPr>
        <w:t> </w:t>
      </w:r>
      <w:r>
        <w:rPr/>
        <w:t>this</w:t>
      </w:r>
      <w:r>
        <w:rPr>
          <w:spacing w:val="-3"/>
        </w:rPr>
        <w:t> </w:t>
      </w:r>
      <w:r>
        <w:rPr/>
        <w:t>document</w:t>
      </w:r>
      <w:r>
        <w:rPr>
          <w:spacing w:val="-3"/>
        </w:rPr>
        <w:t> </w:t>
      </w:r>
      <w:r>
        <w:rPr/>
        <w:t>are</w:t>
      </w:r>
      <w:r>
        <w:rPr>
          <w:spacing w:val="-3"/>
        </w:rPr>
        <w:t> </w:t>
      </w:r>
      <w:r>
        <w:rPr/>
        <w:t>organized</w:t>
      </w:r>
      <w:r>
        <w:rPr>
          <w:spacing w:val="-3"/>
        </w:rPr>
        <w:t> </w:t>
      </w:r>
      <w:r>
        <w:rPr/>
        <w:t>as</w:t>
      </w:r>
      <w:r>
        <w:rPr>
          <w:spacing w:val="-3"/>
        </w:rPr>
        <w:t> </w:t>
      </w:r>
      <w:r>
        <w:rPr>
          <w:spacing w:val="-2"/>
        </w:rPr>
        <w:t>follows:</w:t>
      </w:r>
    </w:p>
    <w:p>
      <w:pPr>
        <w:pStyle w:val="ListParagraph"/>
        <w:numPr>
          <w:ilvl w:val="0"/>
          <w:numId w:val="1"/>
        </w:numPr>
        <w:tabs>
          <w:tab w:pos="839" w:val="left" w:leader="none"/>
          <w:tab w:pos="840" w:val="left" w:leader="none"/>
        </w:tabs>
        <w:spacing w:line="264" w:lineRule="auto" w:before="147" w:after="0"/>
        <w:ind w:left="839" w:right="666" w:hanging="360"/>
        <w:jc w:val="left"/>
        <w:rPr>
          <w:sz w:val="24"/>
        </w:rPr>
      </w:pPr>
      <w:r>
        <w:rPr>
          <w:b/>
          <w:sz w:val="24"/>
        </w:rPr>
        <w:t>Function</w:t>
      </w:r>
      <w:r>
        <w:rPr>
          <w:b/>
          <w:spacing w:val="-10"/>
          <w:sz w:val="24"/>
        </w:rPr>
        <w:t> </w:t>
      </w:r>
      <w:r>
        <w:rPr>
          <w:b/>
          <w:sz w:val="24"/>
        </w:rPr>
        <w:t>ID</w:t>
      </w:r>
      <w:r>
        <w:rPr>
          <w:b/>
          <w:spacing w:val="-10"/>
          <w:sz w:val="24"/>
        </w:rPr>
        <w:t> </w:t>
      </w:r>
      <w:r>
        <w:rPr>
          <w:b/>
          <w:sz w:val="24"/>
        </w:rPr>
        <w:t>and</w:t>
      </w:r>
      <w:r>
        <w:rPr>
          <w:b/>
          <w:spacing w:val="-8"/>
          <w:sz w:val="24"/>
        </w:rPr>
        <w:t> </w:t>
      </w:r>
      <w:r>
        <w:rPr>
          <w:b/>
          <w:sz w:val="24"/>
        </w:rPr>
        <w:t>Federal</w:t>
      </w:r>
      <w:r>
        <w:rPr>
          <w:b/>
          <w:spacing w:val="-10"/>
          <w:sz w:val="24"/>
        </w:rPr>
        <w:t> </w:t>
      </w:r>
      <w:r>
        <w:rPr>
          <w:b/>
          <w:sz w:val="24"/>
        </w:rPr>
        <w:t>Financial</w:t>
      </w:r>
      <w:r>
        <w:rPr>
          <w:b/>
          <w:spacing w:val="-7"/>
          <w:sz w:val="24"/>
        </w:rPr>
        <w:t> </w:t>
      </w:r>
      <w:r>
        <w:rPr>
          <w:b/>
          <w:sz w:val="24"/>
        </w:rPr>
        <w:t>Management</w:t>
      </w:r>
      <w:r>
        <w:rPr>
          <w:b/>
          <w:spacing w:val="-4"/>
          <w:sz w:val="24"/>
        </w:rPr>
        <w:t> </w:t>
      </w:r>
      <w:r>
        <w:rPr>
          <w:b/>
          <w:sz w:val="24"/>
        </w:rPr>
        <w:t>System</w:t>
      </w:r>
      <w:r>
        <w:rPr>
          <w:b/>
          <w:spacing w:val="-8"/>
          <w:sz w:val="24"/>
        </w:rPr>
        <w:t> </w:t>
      </w:r>
      <w:r>
        <w:rPr>
          <w:b/>
          <w:sz w:val="24"/>
        </w:rPr>
        <w:t>Function</w:t>
      </w:r>
      <w:r>
        <w:rPr>
          <w:sz w:val="24"/>
        </w:rPr>
        <w:t>:</w:t>
      </w:r>
      <w:r>
        <w:rPr>
          <w:spacing w:val="-10"/>
          <w:sz w:val="24"/>
        </w:rPr>
        <w:t> </w:t>
      </w:r>
      <w:r>
        <w:rPr>
          <w:sz w:val="24"/>
        </w:rPr>
        <w:t>Identifies</w:t>
      </w:r>
      <w:r>
        <w:rPr>
          <w:spacing w:val="-5"/>
          <w:sz w:val="24"/>
        </w:rPr>
        <w:t> </w:t>
      </w:r>
      <w:r>
        <w:rPr>
          <w:sz w:val="24"/>
        </w:rPr>
        <w:t>and</w:t>
      </w:r>
      <w:r>
        <w:rPr>
          <w:spacing w:val="-10"/>
          <w:sz w:val="24"/>
        </w:rPr>
        <w:t> </w:t>
      </w:r>
      <w:r>
        <w:rPr>
          <w:sz w:val="24"/>
        </w:rPr>
        <w:t>names</w:t>
      </w:r>
      <w:r>
        <w:rPr>
          <w:spacing w:val="-6"/>
          <w:sz w:val="24"/>
        </w:rPr>
        <w:t> </w:t>
      </w:r>
      <w:r>
        <w:rPr>
          <w:sz w:val="24"/>
        </w:rPr>
        <w:t>an</w:t>
      </w:r>
      <w:r>
        <w:rPr>
          <w:spacing w:val="-8"/>
          <w:sz w:val="24"/>
        </w:rPr>
        <w:t> </w:t>
      </w:r>
      <w:r>
        <w:rPr>
          <w:sz w:val="24"/>
        </w:rPr>
        <w:t>activity</w:t>
      </w:r>
      <w:r>
        <w:rPr>
          <w:spacing w:val="-8"/>
          <w:sz w:val="24"/>
        </w:rPr>
        <w:t> </w:t>
      </w:r>
      <w:r>
        <w:rPr>
          <w:sz w:val="24"/>
        </w:rPr>
        <w:t>that</w:t>
      </w:r>
      <w:r>
        <w:rPr>
          <w:spacing w:val="-10"/>
          <w:sz w:val="24"/>
        </w:rPr>
        <w:t> </w:t>
      </w:r>
      <w:r>
        <w:rPr>
          <w:sz w:val="24"/>
        </w:rPr>
        <w:t>groups</w:t>
      </w:r>
      <w:r>
        <w:rPr>
          <w:spacing w:val="-7"/>
          <w:sz w:val="24"/>
        </w:rPr>
        <w:t> </w:t>
      </w:r>
      <w:r>
        <w:rPr>
          <w:sz w:val="24"/>
        </w:rPr>
        <w:t>requirements.</w:t>
      </w:r>
      <w:r>
        <w:rPr>
          <w:spacing w:val="-10"/>
          <w:sz w:val="24"/>
        </w:rPr>
        <w:t> </w:t>
      </w:r>
      <w:r>
        <w:rPr>
          <w:sz w:val="24"/>
        </w:rPr>
        <w:t>The</w:t>
      </w:r>
      <w:r>
        <w:rPr>
          <w:spacing w:val="-11"/>
          <w:sz w:val="24"/>
        </w:rPr>
        <w:t> </w:t>
      </w:r>
      <w:r>
        <w:rPr>
          <w:sz w:val="24"/>
        </w:rPr>
        <w:t>first</w:t>
      </w:r>
      <w:r>
        <w:rPr>
          <w:spacing w:val="-9"/>
          <w:sz w:val="24"/>
        </w:rPr>
        <w:t> </w:t>
      </w:r>
      <w:r>
        <w:rPr>
          <w:sz w:val="24"/>
        </w:rPr>
        <w:t>two</w:t>
      </w:r>
      <w:r>
        <w:rPr>
          <w:spacing w:val="-11"/>
          <w:sz w:val="24"/>
        </w:rPr>
        <w:t> </w:t>
      </w:r>
      <w:r>
        <w:rPr>
          <w:sz w:val="24"/>
        </w:rPr>
        <w:t>digits</w:t>
      </w:r>
      <w:r>
        <w:rPr>
          <w:spacing w:val="-8"/>
          <w:sz w:val="24"/>
        </w:rPr>
        <w:t> </w:t>
      </w:r>
      <w:r>
        <w:rPr>
          <w:sz w:val="24"/>
        </w:rPr>
        <w:t>of</w:t>
      </w:r>
      <w:r>
        <w:rPr>
          <w:spacing w:val="-6"/>
          <w:sz w:val="24"/>
        </w:rPr>
        <w:t> </w:t>
      </w:r>
      <w:r>
        <w:rPr>
          <w:sz w:val="24"/>
        </w:rPr>
        <w:t>the Function</w:t>
      </w:r>
      <w:r>
        <w:rPr>
          <w:spacing w:val="-11"/>
          <w:sz w:val="24"/>
        </w:rPr>
        <w:t> </w:t>
      </w:r>
      <w:r>
        <w:rPr>
          <w:sz w:val="24"/>
        </w:rPr>
        <w:t>ID</w:t>
      </w:r>
      <w:r>
        <w:rPr>
          <w:spacing w:val="-7"/>
          <w:sz w:val="24"/>
        </w:rPr>
        <w:t> </w:t>
      </w:r>
      <w:r>
        <w:rPr>
          <w:sz w:val="24"/>
        </w:rPr>
        <w:t>associate</w:t>
      </w:r>
      <w:r>
        <w:rPr>
          <w:spacing w:val="-8"/>
          <w:sz w:val="24"/>
        </w:rPr>
        <w:t> </w:t>
      </w:r>
      <w:r>
        <w:rPr>
          <w:sz w:val="24"/>
        </w:rPr>
        <w:t>the</w:t>
      </w:r>
      <w:r>
        <w:rPr>
          <w:spacing w:val="-8"/>
          <w:sz w:val="24"/>
        </w:rPr>
        <w:t> </w:t>
      </w:r>
      <w:r>
        <w:rPr>
          <w:sz w:val="24"/>
        </w:rPr>
        <w:t>function</w:t>
      </w:r>
      <w:r>
        <w:rPr>
          <w:spacing w:val="-6"/>
          <w:sz w:val="24"/>
        </w:rPr>
        <w:t> </w:t>
      </w:r>
      <w:r>
        <w:rPr>
          <w:sz w:val="24"/>
        </w:rPr>
        <w:t>with</w:t>
      </w:r>
      <w:r>
        <w:rPr>
          <w:spacing w:val="-9"/>
          <w:sz w:val="24"/>
        </w:rPr>
        <w:t> </w:t>
      </w:r>
      <w:r>
        <w:rPr>
          <w:sz w:val="24"/>
        </w:rPr>
        <w:t>the</w:t>
      </w:r>
      <w:r>
        <w:rPr>
          <w:spacing w:val="-8"/>
          <w:sz w:val="24"/>
        </w:rPr>
        <w:t> </w:t>
      </w:r>
      <w:r>
        <w:rPr>
          <w:sz w:val="24"/>
        </w:rPr>
        <w:t>federal</w:t>
      </w:r>
      <w:r>
        <w:rPr>
          <w:spacing w:val="-2"/>
          <w:sz w:val="24"/>
        </w:rPr>
        <w:t> </w:t>
      </w:r>
      <w:r>
        <w:rPr>
          <w:sz w:val="24"/>
        </w:rPr>
        <w:t>financial</w:t>
      </w:r>
      <w:r>
        <w:rPr>
          <w:spacing w:val="-2"/>
          <w:sz w:val="24"/>
        </w:rPr>
        <w:t> </w:t>
      </w:r>
      <w:r>
        <w:rPr>
          <w:sz w:val="24"/>
        </w:rPr>
        <w:t>management</w:t>
      </w:r>
      <w:r>
        <w:rPr>
          <w:spacing w:val="-2"/>
          <w:sz w:val="24"/>
        </w:rPr>
        <w:t> </w:t>
      </w:r>
      <w:r>
        <w:rPr>
          <w:sz w:val="24"/>
        </w:rPr>
        <w:t>goal</w:t>
      </w:r>
      <w:r>
        <w:rPr>
          <w:spacing w:val="-1"/>
          <w:sz w:val="24"/>
        </w:rPr>
        <w:t> </w:t>
      </w:r>
      <w:r>
        <w:rPr>
          <w:sz w:val="24"/>
        </w:rPr>
        <w:t>it</w:t>
      </w:r>
      <w:r>
        <w:rPr>
          <w:spacing w:val="-1"/>
          <w:sz w:val="24"/>
        </w:rPr>
        <w:t> </w:t>
      </w:r>
      <w:r>
        <w:rPr>
          <w:sz w:val="24"/>
        </w:rPr>
        <w:t>supports</w:t>
      </w:r>
      <w:r>
        <w:rPr>
          <w:spacing w:val="-3"/>
          <w:sz w:val="24"/>
        </w:rPr>
        <w:t> </w:t>
      </w:r>
      <w:r>
        <w:rPr>
          <w:sz w:val="24"/>
        </w:rPr>
        <w:t>(for</w:t>
      </w:r>
      <w:r>
        <w:rPr>
          <w:spacing w:val="-3"/>
          <w:sz w:val="24"/>
        </w:rPr>
        <w:t> </w:t>
      </w:r>
      <w:r>
        <w:rPr>
          <w:sz w:val="24"/>
        </w:rPr>
        <w:t>example,</w:t>
      </w:r>
      <w:r>
        <w:rPr>
          <w:spacing w:val="-2"/>
          <w:sz w:val="24"/>
        </w:rPr>
        <w:t> </w:t>
      </w:r>
      <w:r>
        <w:rPr>
          <w:sz w:val="24"/>
        </w:rPr>
        <w:t>function</w:t>
      </w:r>
      <w:r>
        <w:rPr>
          <w:spacing w:val="-2"/>
          <w:sz w:val="24"/>
        </w:rPr>
        <w:t> </w:t>
      </w:r>
      <w:r>
        <w:rPr>
          <w:sz w:val="24"/>
        </w:rPr>
        <w:t>1.1.1</w:t>
      </w:r>
      <w:r>
        <w:rPr>
          <w:spacing w:val="-2"/>
          <w:sz w:val="24"/>
        </w:rPr>
        <w:t> </w:t>
      </w:r>
      <w:r>
        <w:rPr>
          <w:sz w:val="24"/>
        </w:rPr>
        <w:t>supports</w:t>
      </w:r>
      <w:r>
        <w:rPr>
          <w:spacing w:val="-2"/>
          <w:sz w:val="24"/>
        </w:rPr>
        <w:t> </w:t>
      </w:r>
      <w:r>
        <w:rPr>
          <w:sz w:val="24"/>
        </w:rPr>
        <w:t>goal</w:t>
      </w:r>
      <w:r>
        <w:rPr>
          <w:spacing w:val="-2"/>
          <w:sz w:val="24"/>
        </w:rPr>
        <w:t> </w:t>
      </w:r>
      <w:r>
        <w:rPr>
          <w:sz w:val="24"/>
        </w:rPr>
        <w:t>1.1).</w:t>
      </w:r>
      <w:r>
        <w:rPr>
          <w:spacing w:val="-1"/>
          <w:sz w:val="24"/>
        </w:rPr>
        <w:t> </w:t>
      </w:r>
      <w:r>
        <w:rPr>
          <w:sz w:val="24"/>
        </w:rPr>
        <w:t>These</w:t>
      </w:r>
      <w:r>
        <w:rPr>
          <w:spacing w:val="-2"/>
          <w:sz w:val="24"/>
        </w:rPr>
        <w:t> </w:t>
      </w:r>
      <w:r>
        <w:rPr>
          <w:sz w:val="24"/>
        </w:rPr>
        <w:t>goals</w:t>
      </w:r>
      <w:r>
        <w:rPr>
          <w:spacing w:val="-2"/>
          <w:sz w:val="24"/>
        </w:rPr>
        <w:t> </w:t>
      </w:r>
      <w:r>
        <w:rPr>
          <w:sz w:val="24"/>
        </w:rPr>
        <w:t>are defined in the “Federal Financial Management Improvement Act of 1996 (FFMIA) Compliance Determination Framework” (Table 1 within Appendix D to Circular No. A-123, Compliance with the Federal Financial Management Improvement Act of</w:t>
      </w:r>
      <w:r>
        <w:rPr>
          <w:spacing w:val="-28"/>
          <w:sz w:val="24"/>
        </w:rPr>
        <w:t> </w:t>
      </w:r>
      <w:r>
        <w:rPr>
          <w:sz w:val="24"/>
        </w:rPr>
        <w:t>1996). Note that Treasury and OMB have determined that budget planning and formulation functions will not be included in the current Federal Financial Management System Requirements; however, the budget execution functions are included.</w:t>
      </w:r>
    </w:p>
    <w:p>
      <w:pPr>
        <w:pStyle w:val="ListParagraph"/>
        <w:numPr>
          <w:ilvl w:val="0"/>
          <w:numId w:val="1"/>
        </w:numPr>
        <w:tabs>
          <w:tab w:pos="839" w:val="left" w:leader="none"/>
          <w:tab w:pos="840" w:val="left" w:leader="none"/>
        </w:tabs>
        <w:spacing w:line="264" w:lineRule="auto" w:before="0" w:after="0"/>
        <w:ind w:left="839" w:right="382" w:hanging="360"/>
        <w:jc w:val="left"/>
        <w:rPr>
          <w:sz w:val="24"/>
        </w:rPr>
      </w:pPr>
      <w:r>
        <w:rPr>
          <w:b/>
          <w:sz w:val="24"/>
        </w:rPr>
        <w:t>DI-Data Input, P-Process, DO-Data Output: </w:t>
      </w:r>
      <w:r>
        <w:rPr>
          <w:sz w:val="24"/>
        </w:rPr>
        <w:t>Classify the requirements as a federal government unique data input (DI), process (P), or data output (DO). Examples</w:t>
      </w:r>
      <w:r>
        <w:rPr>
          <w:spacing w:val="-2"/>
          <w:sz w:val="24"/>
        </w:rPr>
        <w:t> </w:t>
      </w:r>
      <w:r>
        <w:rPr>
          <w:sz w:val="24"/>
        </w:rPr>
        <w:t>of</w:t>
      </w:r>
      <w:r>
        <w:rPr>
          <w:spacing w:val="-3"/>
          <w:sz w:val="24"/>
        </w:rPr>
        <w:t> </w:t>
      </w:r>
      <w:r>
        <w:rPr>
          <w:sz w:val="24"/>
        </w:rPr>
        <w:t>the</w:t>
      </w:r>
      <w:r>
        <w:rPr>
          <w:spacing w:val="-4"/>
          <w:sz w:val="24"/>
        </w:rPr>
        <w:t> </w:t>
      </w:r>
      <w:r>
        <w:rPr>
          <w:sz w:val="24"/>
        </w:rPr>
        <w:t>federal</w:t>
      </w:r>
      <w:r>
        <w:rPr>
          <w:spacing w:val="-3"/>
          <w:sz w:val="24"/>
        </w:rPr>
        <w:t> </w:t>
      </w:r>
      <w:r>
        <w:rPr>
          <w:sz w:val="24"/>
        </w:rPr>
        <w:t>government</w:t>
      </w:r>
      <w:r>
        <w:rPr>
          <w:spacing w:val="-3"/>
          <w:sz w:val="24"/>
        </w:rPr>
        <w:t> </w:t>
      </w:r>
      <w:r>
        <w:rPr>
          <w:sz w:val="24"/>
        </w:rPr>
        <w:t>unique</w:t>
      </w:r>
      <w:r>
        <w:rPr>
          <w:spacing w:val="-2"/>
          <w:sz w:val="24"/>
        </w:rPr>
        <w:t> </w:t>
      </w:r>
      <w:r>
        <w:rPr>
          <w:sz w:val="24"/>
        </w:rPr>
        <w:t>inputs,</w:t>
      </w:r>
      <w:r>
        <w:rPr>
          <w:spacing w:val="-2"/>
          <w:sz w:val="24"/>
        </w:rPr>
        <w:t> </w:t>
      </w:r>
      <w:r>
        <w:rPr>
          <w:sz w:val="24"/>
        </w:rPr>
        <w:t>processes,</w:t>
      </w:r>
      <w:r>
        <w:rPr>
          <w:spacing w:val="-2"/>
          <w:sz w:val="24"/>
        </w:rPr>
        <w:t> </w:t>
      </w:r>
      <w:r>
        <w:rPr>
          <w:sz w:val="24"/>
        </w:rPr>
        <w:t>and</w:t>
      </w:r>
      <w:r>
        <w:rPr>
          <w:spacing w:val="-3"/>
          <w:sz w:val="24"/>
        </w:rPr>
        <w:t> </w:t>
      </w:r>
      <w:r>
        <w:rPr>
          <w:sz w:val="24"/>
        </w:rPr>
        <w:t>outputs</w:t>
      </w:r>
      <w:r>
        <w:rPr>
          <w:spacing w:val="-3"/>
          <w:sz w:val="24"/>
        </w:rPr>
        <w:t> </w:t>
      </w:r>
      <w:r>
        <w:rPr>
          <w:sz w:val="24"/>
        </w:rPr>
        <w:t>are</w:t>
      </w:r>
      <w:r>
        <w:rPr>
          <w:spacing w:val="-3"/>
          <w:sz w:val="24"/>
        </w:rPr>
        <w:t> </w:t>
      </w:r>
      <w:r>
        <w:rPr>
          <w:sz w:val="24"/>
        </w:rPr>
        <w:t>included</w:t>
      </w:r>
      <w:r>
        <w:rPr>
          <w:spacing w:val="-2"/>
          <w:sz w:val="24"/>
        </w:rPr>
        <w:t> </w:t>
      </w:r>
      <w:r>
        <w:rPr>
          <w:sz w:val="24"/>
        </w:rPr>
        <w:t>parenthetically</w:t>
      </w:r>
      <w:r>
        <w:rPr>
          <w:spacing w:val="-3"/>
          <w:sz w:val="24"/>
        </w:rPr>
        <w:t> </w:t>
      </w:r>
      <w:r>
        <w:rPr>
          <w:sz w:val="24"/>
        </w:rPr>
        <w:t>in</w:t>
      </w:r>
      <w:r>
        <w:rPr>
          <w:spacing w:val="-3"/>
          <w:sz w:val="24"/>
        </w:rPr>
        <w:t> </w:t>
      </w:r>
      <w:r>
        <w:rPr>
          <w:sz w:val="24"/>
        </w:rPr>
        <w:t>the</w:t>
      </w:r>
      <w:r>
        <w:rPr>
          <w:spacing w:val="-3"/>
          <w:sz w:val="24"/>
        </w:rPr>
        <w:t> </w:t>
      </w:r>
      <w:r>
        <w:rPr>
          <w:sz w:val="24"/>
        </w:rPr>
        <w:t>requirement</w:t>
      </w:r>
      <w:r>
        <w:rPr>
          <w:spacing w:val="-2"/>
          <w:sz w:val="24"/>
        </w:rPr>
        <w:t> </w:t>
      </w:r>
      <w:r>
        <w:rPr>
          <w:sz w:val="24"/>
        </w:rPr>
        <w:t>statements.</w:t>
      </w:r>
      <w:r>
        <w:rPr>
          <w:spacing w:val="-2"/>
          <w:sz w:val="24"/>
        </w:rPr>
        <w:t> </w:t>
      </w:r>
      <w:r>
        <w:rPr>
          <w:sz w:val="24"/>
        </w:rPr>
        <w:t>Federal</w:t>
      </w:r>
      <w:r>
        <w:rPr>
          <w:spacing w:val="-3"/>
          <w:sz w:val="24"/>
        </w:rPr>
        <w:t> </w:t>
      </w:r>
      <w:r>
        <w:rPr>
          <w:sz w:val="24"/>
        </w:rPr>
        <w:t>government unique requirements comprise:</w:t>
      </w:r>
    </w:p>
    <w:p>
      <w:pPr>
        <w:pStyle w:val="ListParagraph"/>
        <w:numPr>
          <w:ilvl w:val="1"/>
          <w:numId w:val="1"/>
        </w:numPr>
        <w:tabs>
          <w:tab w:pos="1920" w:val="left" w:leader="none"/>
        </w:tabs>
        <w:spacing w:line="295" w:lineRule="exact" w:before="0" w:after="0"/>
        <w:ind w:left="1920" w:right="0" w:hanging="361"/>
        <w:jc w:val="left"/>
        <w:rPr>
          <w:sz w:val="24"/>
        </w:rPr>
      </w:pPr>
      <w:r>
        <w:rPr>
          <w:sz w:val="24"/>
        </w:rPr>
        <w:t>Data</w:t>
      </w:r>
      <w:r>
        <w:rPr>
          <w:spacing w:val="-6"/>
          <w:sz w:val="24"/>
        </w:rPr>
        <w:t> </w:t>
      </w:r>
      <w:r>
        <w:rPr>
          <w:sz w:val="24"/>
        </w:rPr>
        <w:t>not</w:t>
      </w:r>
      <w:r>
        <w:rPr>
          <w:spacing w:val="-3"/>
          <w:sz w:val="24"/>
        </w:rPr>
        <w:t> </w:t>
      </w:r>
      <w:r>
        <w:rPr>
          <w:sz w:val="24"/>
        </w:rPr>
        <w:t>normally</w:t>
      </w:r>
      <w:r>
        <w:rPr>
          <w:spacing w:val="-3"/>
          <w:sz w:val="24"/>
        </w:rPr>
        <w:t> </w:t>
      </w:r>
      <w:r>
        <w:rPr>
          <w:sz w:val="24"/>
        </w:rPr>
        <w:t>captured</w:t>
      </w:r>
      <w:r>
        <w:rPr>
          <w:spacing w:val="-4"/>
          <w:sz w:val="24"/>
        </w:rPr>
        <w:t> </w:t>
      </w:r>
      <w:r>
        <w:rPr>
          <w:sz w:val="24"/>
        </w:rPr>
        <w:t>by</w:t>
      </w:r>
      <w:r>
        <w:rPr>
          <w:spacing w:val="-3"/>
          <w:sz w:val="24"/>
        </w:rPr>
        <w:t> </w:t>
      </w:r>
      <w:r>
        <w:rPr>
          <w:sz w:val="24"/>
        </w:rPr>
        <w:t>commercial</w:t>
      </w:r>
      <w:r>
        <w:rPr>
          <w:spacing w:val="-3"/>
          <w:sz w:val="24"/>
        </w:rPr>
        <w:t> </w:t>
      </w:r>
      <w:r>
        <w:rPr>
          <w:sz w:val="24"/>
        </w:rPr>
        <w:t>sector</w:t>
      </w:r>
      <w:r>
        <w:rPr>
          <w:spacing w:val="-3"/>
          <w:sz w:val="24"/>
        </w:rPr>
        <w:t> </w:t>
      </w:r>
      <w:r>
        <w:rPr>
          <w:sz w:val="24"/>
        </w:rPr>
        <w:t>financial</w:t>
      </w:r>
      <w:r>
        <w:rPr>
          <w:spacing w:val="-4"/>
          <w:sz w:val="24"/>
        </w:rPr>
        <w:t> </w:t>
      </w:r>
      <w:r>
        <w:rPr>
          <w:sz w:val="24"/>
        </w:rPr>
        <w:t>systems</w:t>
      </w:r>
      <w:r>
        <w:rPr>
          <w:spacing w:val="-3"/>
          <w:sz w:val="24"/>
        </w:rPr>
        <w:t> </w:t>
      </w:r>
      <w:r>
        <w:rPr>
          <w:sz w:val="24"/>
        </w:rPr>
        <w:t>but</w:t>
      </w:r>
      <w:r>
        <w:rPr>
          <w:spacing w:val="-3"/>
          <w:sz w:val="24"/>
        </w:rPr>
        <w:t> </w:t>
      </w:r>
      <w:r>
        <w:rPr>
          <w:sz w:val="24"/>
        </w:rPr>
        <w:t>required</w:t>
      </w:r>
      <w:r>
        <w:rPr>
          <w:spacing w:val="-3"/>
          <w:sz w:val="24"/>
        </w:rPr>
        <w:t> </w:t>
      </w:r>
      <w:r>
        <w:rPr>
          <w:sz w:val="24"/>
        </w:rPr>
        <w:t>by</w:t>
      </w:r>
      <w:r>
        <w:rPr>
          <w:spacing w:val="-4"/>
          <w:sz w:val="24"/>
        </w:rPr>
        <w:t> </w:t>
      </w:r>
      <w:r>
        <w:rPr>
          <w:sz w:val="24"/>
        </w:rPr>
        <w:t>federal</w:t>
      </w:r>
      <w:r>
        <w:rPr>
          <w:spacing w:val="-3"/>
          <w:sz w:val="24"/>
        </w:rPr>
        <w:t> </w:t>
      </w:r>
      <w:r>
        <w:rPr>
          <w:sz w:val="24"/>
        </w:rPr>
        <w:t>statutes,</w:t>
      </w:r>
      <w:r>
        <w:rPr>
          <w:spacing w:val="-4"/>
          <w:sz w:val="24"/>
        </w:rPr>
        <w:t> </w:t>
      </w:r>
      <w:r>
        <w:rPr>
          <w:sz w:val="24"/>
        </w:rPr>
        <w:t>standards,</w:t>
      </w:r>
      <w:r>
        <w:rPr>
          <w:spacing w:val="-4"/>
          <w:sz w:val="24"/>
        </w:rPr>
        <w:t> </w:t>
      </w:r>
      <w:r>
        <w:rPr>
          <w:sz w:val="24"/>
        </w:rPr>
        <w:t>or</w:t>
      </w:r>
      <w:r>
        <w:rPr>
          <w:spacing w:val="-3"/>
          <w:sz w:val="24"/>
        </w:rPr>
        <w:t> </w:t>
      </w:r>
      <w:r>
        <w:rPr>
          <w:spacing w:val="-2"/>
          <w:sz w:val="24"/>
        </w:rPr>
        <w:t>guidance.</w:t>
      </w:r>
    </w:p>
    <w:p>
      <w:pPr>
        <w:pStyle w:val="ListParagraph"/>
        <w:numPr>
          <w:ilvl w:val="1"/>
          <w:numId w:val="1"/>
        </w:numPr>
        <w:tabs>
          <w:tab w:pos="1920" w:val="left" w:leader="none"/>
        </w:tabs>
        <w:spacing w:line="240" w:lineRule="auto" w:before="2" w:after="0"/>
        <w:ind w:left="1920" w:right="0" w:hanging="361"/>
        <w:jc w:val="left"/>
        <w:rPr>
          <w:sz w:val="24"/>
        </w:rPr>
      </w:pPr>
      <w:r>
        <w:rPr>
          <w:sz w:val="24"/>
        </w:rPr>
        <w:t>Processes</w:t>
      </w:r>
      <w:r>
        <w:rPr>
          <w:spacing w:val="-6"/>
          <w:sz w:val="24"/>
        </w:rPr>
        <w:t> </w:t>
      </w:r>
      <w:r>
        <w:rPr>
          <w:sz w:val="24"/>
        </w:rPr>
        <w:t>not</w:t>
      </w:r>
      <w:r>
        <w:rPr>
          <w:spacing w:val="-3"/>
          <w:sz w:val="24"/>
        </w:rPr>
        <w:t> </w:t>
      </w:r>
      <w:r>
        <w:rPr>
          <w:sz w:val="24"/>
        </w:rPr>
        <w:t>normally</w:t>
      </w:r>
      <w:r>
        <w:rPr>
          <w:spacing w:val="-4"/>
          <w:sz w:val="24"/>
        </w:rPr>
        <w:t> </w:t>
      </w:r>
      <w:r>
        <w:rPr>
          <w:sz w:val="24"/>
        </w:rPr>
        <w:t>performed</w:t>
      </w:r>
      <w:r>
        <w:rPr>
          <w:spacing w:val="-3"/>
          <w:sz w:val="24"/>
        </w:rPr>
        <w:t> </w:t>
      </w:r>
      <w:r>
        <w:rPr>
          <w:sz w:val="24"/>
        </w:rPr>
        <w:t>or</w:t>
      </w:r>
      <w:r>
        <w:rPr>
          <w:spacing w:val="-3"/>
          <w:sz w:val="24"/>
        </w:rPr>
        <w:t> </w:t>
      </w:r>
      <w:r>
        <w:rPr>
          <w:sz w:val="24"/>
        </w:rPr>
        <w:t>performed</w:t>
      </w:r>
      <w:r>
        <w:rPr>
          <w:spacing w:val="-4"/>
          <w:sz w:val="24"/>
        </w:rPr>
        <w:t> </w:t>
      </w:r>
      <w:r>
        <w:rPr>
          <w:sz w:val="24"/>
        </w:rPr>
        <w:t>differently</w:t>
      </w:r>
      <w:r>
        <w:rPr>
          <w:spacing w:val="-3"/>
          <w:sz w:val="24"/>
        </w:rPr>
        <w:t> </w:t>
      </w:r>
      <w:r>
        <w:rPr>
          <w:sz w:val="24"/>
        </w:rPr>
        <w:t>in</w:t>
      </w:r>
      <w:r>
        <w:rPr>
          <w:spacing w:val="-4"/>
          <w:sz w:val="24"/>
        </w:rPr>
        <w:t> </w:t>
      </w:r>
      <w:r>
        <w:rPr>
          <w:sz w:val="24"/>
        </w:rPr>
        <w:t>the</w:t>
      </w:r>
      <w:r>
        <w:rPr>
          <w:spacing w:val="-3"/>
          <w:sz w:val="24"/>
        </w:rPr>
        <w:t> </w:t>
      </w:r>
      <w:r>
        <w:rPr>
          <w:sz w:val="24"/>
        </w:rPr>
        <w:t>commercial</w:t>
      </w:r>
      <w:r>
        <w:rPr>
          <w:spacing w:val="-3"/>
          <w:sz w:val="24"/>
        </w:rPr>
        <w:t> </w:t>
      </w:r>
      <w:r>
        <w:rPr>
          <w:sz w:val="24"/>
        </w:rPr>
        <w:t>sector</w:t>
      </w:r>
      <w:r>
        <w:rPr>
          <w:spacing w:val="-4"/>
          <w:sz w:val="24"/>
        </w:rPr>
        <w:t> </w:t>
      </w:r>
      <w:r>
        <w:rPr>
          <w:sz w:val="24"/>
        </w:rPr>
        <w:t>compared</w:t>
      </w:r>
      <w:r>
        <w:rPr>
          <w:spacing w:val="-3"/>
          <w:sz w:val="24"/>
        </w:rPr>
        <w:t> </w:t>
      </w:r>
      <w:r>
        <w:rPr>
          <w:sz w:val="24"/>
        </w:rPr>
        <w:t>to</w:t>
      </w:r>
      <w:r>
        <w:rPr>
          <w:spacing w:val="-4"/>
          <w:sz w:val="24"/>
        </w:rPr>
        <w:t> </w:t>
      </w:r>
      <w:r>
        <w:rPr>
          <w:sz w:val="24"/>
        </w:rPr>
        <w:t>the</w:t>
      </w:r>
      <w:r>
        <w:rPr>
          <w:spacing w:val="-3"/>
          <w:sz w:val="24"/>
        </w:rPr>
        <w:t> </w:t>
      </w:r>
      <w:r>
        <w:rPr>
          <w:sz w:val="24"/>
        </w:rPr>
        <w:t>federal</w:t>
      </w:r>
      <w:r>
        <w:rPr>
          <w:spacing w:val="-3"/>
          <w:sz w:val="24"/>
        </w:rPr>
        <w:t> </w:t>
      </w:r>
      <w:r>
        <w:rPr>
          <w:spacing w:val="-2"/>
          <w:sz w:val="24"/>
        </w:rPr>
        <w:t>government.</w:t>
      </w:r>
    </w:p>
    <w:p>
      <w:pPr>
        <w:pStyle w:val="BodyText"/>
        <w:spacing w:before="6"/>
        <w:rPr>
          <w:sz w:val="26"/>
        </w:rPr>
      </w:pPr>
      <w:r>
        <w:rPr/>
        <w:pict>
          <v:rect style="position:absolute;margin-left:72pt;margin-top:16.450449pt;width:144pt;height:.599pt;mso-position-horizontal-relative:page;mso-position-vertical-relative:paragraph;z-index:-15728128;mso-wrap-distance-left:0;mso-wrap-distance-right:0" id="docshape7" filled="true" fillcolor="#000000" stroked="false">
            <v:fill type="solid"/>
            <w10:wrap type="topAndBottom"/>
          </v:rect>
        </w:pict>
      </w:r>
    </w:p>
    <w:p>
      <w:pPr>
        <w:pStyle w:val="BodyText"/>
        <w:spacing w:before="96"/>
        <w:ind w:left="120" w:right="319"/>
      </w:pPr>
      <w:r>
        <w:rPr>
          <w:position w:val="8"/>
          <w:sz w:val="16"/>
        </w:rPr>
        <w:t>1</w:t>
      </w:r>
      <w:r>
        <w:rPr>
          <w:spacing w:val="25"/>
          <w:position w:val="8"/>
          <w:sz w:val="16"/>
        </w:rPr>
        <w:t> </w:t>
      </w:r>
      <w:r>
        <w:rPr/>
        <w:t>A “financial management system” includes an agency’s overall financial operation, reflecting the people, processes, and technology to capture, classify, summarize,</w:t>
      </w:r>
      <w:r>
        <w:rPr>
          <w:spacing w:val="-3"/>
        </w:rPr>
        <w:t> </w:t>
      </w:r>
      <w:r>
        <w:rPr/>
        <w:t>and</w:t>
      </w:r>
      <w:r>
        <w:rPr>
          <w:spacing w:val="-3"/>
        </w:rPr>
        <w:t> </w:t>
      </w:r>
      <w:r>
        <w:rPr/>
        <w:t>report</w:t>
      </w:r>
      <w:r>
        <w:rPr>
          <w:spacing w:val="-4"/>
        </w:rPr>
        <w:t> </w:t>
      </w:r>
      <w:r>
        <w:rPr/>
        <w:t>data</w:t>
      </w:r>
      <w:r>
        <w:rPr>
          <w:spacing w:val="-3"/>
        </w:rPr>
        <w:t> </w:t>
      </w:r>
      <w:r>
        <w:rPr/>
        <w:t>in</w:t>
      </w:r>
      <w:r>
        <w:rPr>
          <w:spacing w:val="-3"/>
        </w:rPr>
        <w:t> </w:t>
      </w:r>
      <w:r>
        <w:rPr/>
        <w:t>a</w:t>
      </w:r>
      <w:r>
        <w:rPr>
          <w:spacing w:val="-4"/>
        </w:rPr>
        <w:t> </w:t>
      </w:r>
      <w:r>
        <w:rPr/>
        <w:t>meaningful</w:t>
      </w:r>
      <w:r>
        <w:rPr>
          <w:spacing w:val="-2"/>
        </w:rPr>
        <w:t> </w:t>
      </w:r>
      <w:r>
        <w:rPr/>
        <w:t>manner</w:t>
      </w:r>
      <w:r>
        <w:rPr>
          <w:spacing w:val="-3"/>
        </w:rPr>
        <w:t> </w:t>
      </w:r>
      <w:r>
        <w:rPr/>
        <w:t>to</w:t>
      </w:r>
      <w:r>
        <w:rPr>
          <w:spacing w:val="-4"/>
        </w:rPr>
        <w:t> </w:t>
      </w:r>
      <w:r>
        <w:rPr/>
        <w:t>support</w:t>
      </w:r>
      <w:r>
        <w:rPr>
          <w:spacing w:val="-2"/>
        </w:rPr>
        <w:t> </w:t>
      </w:r>
      <w:r>
        <w:rPr/>
        <w:t>business</w:t>
      </w:r>
      <w:r>
        <w:rPr>
          <w:spacing w:val="-3"/>
        </w:rPr>
        <w:t> </w:t>
      </w:r>
      <w:r>
        <w:rPr/>
        <w:t>decisions.</w:t>
      </w:r>
      <w:r>
        <w:rPr>
          <w:spacing w:val="-2"/>
        </w:rPr>
        <w:t> </w:t>
      </w:r>
      <w:r>
        <w:rPr/>
        <w:t>It</w:t>
      </w:r>
      <w:r>
        <w:rPr>
          <w:spacing w:val="-2"/>
        </w:rPr>
        <w:t> </w:t>
      </w:r>
      <w:r>
        <w:rPr/>
        <w:t>includes</w:t>
      </w:r>
      <w:r>
        <w:rPr>
          <w:spacing w:val="-3"/>
        </w:rPr>
        <w:t> </w:t>
      </w:r>
      <w:r>
        <w:rPr/>
        <w:t>hardware,</w:t>
      </w:r>
      <w:r>
        <w:rPr>
          <w:spacing w:val="-3"/>
        </w:rPr>
        <w:t> </w:t>
      </w:r>
      <w:r>
        <w:rPr/>
        <w:t>applications</w:t>
      </w:r>
      <w:r>
        <w:rPr>
          <w:spacing w:val="-3"/>
        </w:rPr>
        <w:t> </w:t>
      </w:r>
      <w:r>
        <w:rPr/>
        <w:t>and</w:t>
      </w:r>
      <w:r>
        <w:rPr>
          <w:spacing w:val="-2"/>
        </w:rPr>
        <w:t> </w:t>
      </w:r>
      <w:r>
        <w:rPr/>
        <w:t>system</w:t>
      </w:r>
      <w:r>
        <w:rPr>
          <w:spacing w:val="-4"/>
        </w:rPr>
        <w:t> </w:t>
      </w:r>
      <w:r>
        <w:rPr/>
        <w:t>software,</w:t>
      </w:r>
      <w:r>
        <w:rPr>
          <w:spacing w:val="-3"/>
        </w:rPr>
        <w:t> </w:t>
      </w:r>
      <w:r>
        <w:rPr/>
        <w:t>personnel,</w:t>
      </w:r>
      <w:r>
        <w:rPr>
          <w:spacing w:val="-2"/>
        </w:rPr>
        <w:t> </w:t>
      </w:r>
      <w:r>
        <w:rPr/>
        <w:t>procedures, data, and reporting functions. The financial management system can be fully integrated with other management information systems (i.e., mixed systems) where transactions automatically flow into an accounting general ledger. The financial management system could also include manual processes to post transactions</w:t>
      </w:r>
      <w:r>
        <w:rPr/>
        <w:t> from other management systems into the accounting general ledger.</w:t>
      </w:r>
    </w:p>
    <w:p>
      <w:pPr>
        <w:spacing w:after="0"/>
        <w:sectPr>
          <w:pgSz w:w="20160" w:h="12240" w:orient="landscape"/>
          <w:pgMar w:header="288" w:footer="728" w:top="1380" w:bottom="920" w:left="1320" w:right="1140"/>
        </w:sectPr>
      </w:pPr>
    </w:p>
    <w:p>
      <w:pPr>
        <w:pStyle w:val="ListParagraph"/>
        <w:numPr>
          <w:ilvl w:val="1"/>
          <w:numId w:val="1"/>
        </w:numPr>
        <w:tabs>
          <w:tab w:pos="1920" w:val="left" w:leader="none"/>
        </w:tabs>
        <w:spacing w:line="244" w:lineRule="auto" w:before="0" w:after="0"/>
        <w:ind w:left="1920" w:right="1505" w:hanging="360"/>
        <w:jc w:val="left"/>
        <w:rPr>
          <w:sz w:val="24"/>
        </w:rPr>
      </w:pPr>
      <w:r>
        <w:rPr>
          <w:sz w:val="24"/>
        </w:rPr>
        <w:t>Data</w:t>
      </w:r>
      <w:r>
        <w:rPr>
          <w:spacing w:val="-3"/>
          <w:sz w:val="24"/>
        </w:rPr>
        <w:t> </w:t>
      </w:r>
      <w:r>
        <w:rPr>
          <w:sz w:val="24"/>
        </w:rPr>
        <w:t>required</w:t>
      </w:r>
      <w:r>
        <w:rPr>
          <w:spacing w:val="-3"/>
          <w:sz w:val="24"/>
        </w:rPr>
        <w:t> </w:t>
      </w:r>
      <w:r>
        <w:rPr>
          <w:sz w:val="24"/>
        </w:rPr>
        <w:t>to</w:t>
      </w:r>
      <w:r>
        <w:rPr>
          <w:spacing w:val="-3"/>
          <w:sz w:val="24"/>
        </w:rPr>
        <w:t> </w:t>
      </w:r>
      <w:r>
        <w:rPr>
          <w:sz w:val="24"/>
        </w:rPr>
        <w:t>be</w:t>
      </w:r>
      <w:r>
        <w:rPr>
          <w:spacing w:val="-3"/>
          <w:sz w:val="24"/>
        </w:rPr>
        <w:t> </w:t>
      </w:r>
      <w:r>
        <w:rPr>
          <w:sz w:val="24"/>
        </w:rPr>
        <w:t>exchanged</w:t>
      </w:r>
      <w:r>
        <w:rPr>
          <w:spacing w:val="-3"/>
          <w:sz w:val="24"/>
        </w:rPr>
        <w:t> </w:t>
      </w:r>
      <w:r>
        <w:rPr>
          <w:sz w:val="24"/>
        </w:rPr>
        <w:t>between</w:t>
      </w:r>
      <w:r>
        <w:rPr>
          <w:spacing w:val="-3"/>
          <w:sz w:val="24"/>
        </w:rPr>
        <w:t> </w:t>
      </w:r>
      <w:r>
        <w:rPr>
          <w:sz w:val="24"/>
        </w:rPr>
        <w:t>federal</w:t>
      </w:r>
      <w:r>
        <w:rPr>
          <w:spacing w:val="-3"/>
          <w:sz w:val="24"/>
        </w:rPr>
        <w:t> </w:t>
      </w:r>
      <w:r>
        <w:rPr>
          <w:sz w:val="24"/>
        </w:rPr>
        <w:t>agencies</w:t>
      </w:r>
      <w:r>
        <w:rPr>
          <w:spacing w:val="-3"/>
          <w:sz w:val="24"/>
        </w:rPr>
        <w:t> </w:t>
      </w:r>
      <w:r>
        <w:rPr>
          <w:sz w:val="24"/>
        </w:rPr>
        <w:t>or</w:t>
      </w:r>
      <w:r>
        <w:rPr>
          <w:spacing w:val="-3"/>
          <w:sz w:val="24"/>
        </w:rPr>
        <w:t> </w:t>
      </w:r>
      <w:r>
        <w:rPr>
          <w:sz w:val="24"/>
        </w:rPr>
        <w:t>reported</w:t>
      </w:r>
      <w:r>
        <w:rPr>
          <w:spacing w:val="-3"/>
          <w:sz w:val="24"/>
        </w:rPr>
        <w:t> </w:t>
      </w:r>
      <w:r>
        <w:rPr>
          <w:sz w:val="24"/>
        </w:rPr>
        <w:t>from</w:t>
      </w:r>
      <w:r>
        <w:rPr>
          <w:spacing w:val="-3"/>
          <w:sz w:val="24"/>
        </w:rPr>
        <w:t> </w:t>
      </w:r>
      <w:r>
        <w:rPr>
          <w:sz w:val="24"/>
        </w:rPr>
        <w:t>agency</w:t>
      </w:r>
      <w:r>
        <w:rPr>
          <w:spacing w:val="-3"/>
          <w:sz w:val="24"/>
        </w:rPr>
        <w:t> </w:t>
      </w:r>
      <w:r>
        <w:rPr>
          <w:sz w:val="24"/>
        </w:rPr>
        <w:t>systems</w:t>
      </w:r>
      <w:r>
        <w:rPr>
          <w:spacing w:val="-3"/>
          <w:sz w:val="24"/>
        </w:rPr>
        <w:t> </w:t>
      </w:r>
      <w:r>
        <w:rPr>
          <w:sz w:val="24"/>
        </w:rPr>
        <w:t>as</w:t>
      </w:r>
      <w:r>
        <w:rPr>
          <w:spacing w:val="-3"/>
          <w:sz w:val="24"/>
        </w:rPr>
        <w:t> </w:t>
      </w:r>
      <w:r>
        <w:rPr>
          <w:sz w:val="24"/>
        </w:rPr>
        <w:t>federal</w:t>
      </w:r>
      <w:r>
        <w:rPr>
          <w:spacing w:val="-3"/>
          <w:sz w:val="24"/>
        </w:rPr>
        <w:t> </w:t>
      </w:r>
      <w:r>
        <w:rPr>
          <w:sz w:val="24"/>
        </w:rPr>
        <w:t>statutes,</w:t>
      </w:r>
      <w:r>
        <w:rPr>
          <w:spacing w:val="-1"/>
          <w:sz w:val="24"/>
        </w:rPr>
        <w:t> </w:t>
      </w:r>
      <w:r>
        <w:rPr>
          <w:sz w:val="24"/>
        </w:rPr>
        <w:t>standards,</w:t>
      </w:r>
      <w:r>
        <w:rPr>
          <w:spacing w:val="-2"/>
          <w:sz w:val="24"/>
        </w:rPr>
        <w:t> </w:t>
      </w:r>
      <w:r>
        <w:rPr>
          <w:sz w:val="24"/>
        </w:rPr>
        <w:t>or</w:t>
      </w:r>
      <w:r>
        <w:rPr>
          <w:spacing w:val="-3"/>
          <w:sz w:val="24"/>
        </w:rPr>
        <w:t> </w:t>
      </w:r>
      <w:r>
        <w:rPr>
          <w:sz w:val="24"/>
        </w:rPr>
        <w:t>guidance </w:t>
      </w:r>
      <w:r>
        <w:rPr>
          <w:spacing w:val="-2"/>
          <w:sz w:val="24"/>
        </w:rPr>
        <w:t>requirements.</w:t>
      </w:r>
    </w:p>
    <w:p>
      <w:pPr>
        <w:pStyle w:val="ListParagraph"/>
        <w:numPr>
          <w:ilvl w:val="0"/>
          <w:numId w:val="1"/>
        </w:numPr>
        <w:tabs>
          <w:tab w:pos="839" w:val="left" w:leader="none"/>
          <w:tab w:pos="840" w:val="left" w:leader="none"/>
        </w:tabs>
        <w:spacing w:line="240" w:lineRule="auto" w:before="22" w:after="0"/>
        <w:ind w:left="840" w:right="0" w:hanging="360"/>
        <w:jc w:val="left"/>
        <w:rPr>
          <w:sz w:val="24"/>
        </w:rPr>
      </w:pPr>
      <w:r>
        <w:rPr>
          <w:b/>
          <w:sz w:val="24"/>
        </w:rPr>
        <w:t>Requirement</w:t>
      </w:r>
      <w:r>
        <w:rPr>
          <w:b/>
          <w:spacing w:val="-7"/>
          <w:sz w:val="24"/>
        </w:rPr>
        <w:t> </w:t>
      </w:r>
      <w:r>
        <w:rPr>
          <w:b/>
          <w:sz w:val="24"/>
        </w:rPr>
        <w:t>ID:</w:t>
      </w:r>
      <w:r>
        <w:rPr>
          <w:b/>
          <w:spacing w:val="-4"/>
          <w:sz w:val="24"/>
        </w:rPr>
        <w:t> </w:t>
      </w:r>
      <w:r>
        <w:rPr>
          <w:sz w:val="24"/>
        </w:rPr>
        <w:t>Sequentially</w:t>
      </w:r>
      <w:r>
        <w:rPr>
          <w:spacing w:val="-4"/>
          <w:sz w:val="24"/>
        </w:rPr>
        <w:t> </w:t>
      </w:r>
      <w:r>
        <w:rPr>
          <w:sz w:val="24"/>
        </w:rPr>
        <w:t>identifies</w:t>
      </w:r>
      <w:r>
        <w:rPr>
          <w:spacing w:val="-5"/>
          <w:sz w:val="24"/>
        </w:rPr>
        <w:t> </w:t>
      </w:r>
      <w:r>
        <w:rPr>
          <w:sz w:val="24"/>
        </w:rPr>
        <w:t>the</w:t>
      </w:r>
      <w:r>
        <w:rPr>
          <w:spacing w:val="-4"/>
          <w:sz w:val="24"/>
        </w:rPr>
        <w:t> </w:t>
      </w:r>
      <w:r>
        <w:rPr>
          <w:sz w:val="24"/>
        </w:rPr>
        <w:t>requirements</w:t>
      </w:r>
      <w:r>
        <w:rPr>
          <w:spacing w:val="-5"/>
          <w:sz w:val="24"/>
        </w:rPr>
        <w:t> </w:t>
      </w:r>
      <w:r>
        <w:rPr>
          <w:sz w:val="24"/>
        </w:rPr>
        <w:t>in</w:t>
      </w:r>
      <w:r>
        <w:rPr>
          <w:spacing w:val="-4"/>
          <w:sz w:val="24"/>
        </w:rPr>
        <w:t> </w:t>
      </w:r>
      <w:r>
        <w:rPr>
          <w:sz w:val="24"/>
        </w:rPr>
        <w:t>each</w:t>
      </w:r>
      <w:r>
        <w:rPr>
          <w:spacing w:val="-4"/>
          <w:sz w:val="24"/>
        </w:rPr>
        <w:t> </w:t>
      </w:r>
      <w:r>
        <w:rPr>
          <w:spacing w:val="-2"/>
          <w:sz w:val="24"/>
        </w:rPr>
        <w:t>function.</w:t>
      </w:r>
    </w:p>
    <w:p>
      <w:pPr>
        <w:pStyle w:val="ListParagraph"/>
        <w:numPr>
          <w:ilvl w:val="0"/>
          <w:numId w:val="1"/>
        </w:numPr>
        <w:tabs>
          <w:tab w:pos="839" w:val="left" w:leader="none"/>
          <w:tab w:pos="840" w:val="left" w:leader="none"/>
        </w:tabs>
        <w:spacing w:line="264" w:lineRule="auto" w:before="26" w:after="0"/>
        <w:ind w:left="839" w:right="719" w:hanging="360"/>
        <w:jc w:val="left"/>
        <w:rPr>
          <w:sz w:val="24"/>
        </w:rPr>
      </w:pPr>
      <w:r>
        <w:rPr>
          <w:b/>
          <w:sz w:val="24"/>
        </w:rPr>
        <w:t>Federal</w:t>
      </w:r>
      <w:r>
        <w:rPr>
          <w:b/>
          <w:spacing w:val="-3"/>
          <w:sz w:val="24"/>
        </w:rPr>
        <w:t> </w:t>
      </w:r>
      <w:r>
        <w:rPr>
          <w:b/>
          <w:sz w:val="24"/>
        </w:rPr>
        <w:t>Financial</w:t>
      </w:r>
      <w:r>
        <w:rPr>
          <w:b/>
          <w:spacing w:val="-3"/>
          <w:sz w:val="24"/>
        </w:rPr>
        <w:t> </w:t>
      </w:r>
      <w:r>
        <w:rPr>
          <w:b/>
          <w:sz w:val="24"/>
        </w:rPr>
        <w:t>Management</w:t>
      </w:r>
      <w:r>
        <w:rPr>
          <w:b/>
          <w:spacing w:val="-3"/>
          <w:sz w:val="24"/>
        </w:rPr>
        <w:t> </w:t>
      </w:r>
      <w:r>
        <w:rPr>
          <w:b/>
          <w:sz w:val="24"/>
        </w:rPr>
        <w:t>System</w:t>
      </w:r>
      <w:r>
        <w:rPr>
          <w:b/>
          <w:spacing w:val="-3"/>
          <w:sz w:val="24"/>
        </w:rPr>
        <w:t> </w:t>
      </w:r>
      <w:r>
        <w:rPr>
          <w:b/>
          <w:sz w:val="24"/>
        </w:rPr>
        <w:t>Requirements:</w:t>
      </w:r>
      <w:r>
        <w:rPr>
          <w:b/>
          <w:spacing w:val="-2"/>
          <w:sz w:val="24"/>
        </w:rPr>
        <w:t> </w:t>
      </w:r>
      <w:r>
        <w:rPr>
          <w:sz w:val="24"/>
        </w:rPr>
        <w:t>Contain</w:t>
      </w:r>
      <w:r>
        <w:rPr>
          <w:spacing w:val="-3"/>
          <w:sz w:val="24"/>
        </w:rPr>
        <w:t> </w:t>
      </w:r>
      <w:r>
        <w:rPr>
          <w:sz w:val="24"/>
        </w:rPr>
        <w:t>the</w:t>
      </w:r>
      <w:r>
        <w:rPr>
          <w:spacing w:val="-3"/>
          <w:sz w:val="24"/>
        </w:rPr>
        <w:t> </w:t>
      </w:r>
      <w:r>
        <w:rPr>
          <w:sz w:val="24"/>
        </w:rPr>
        <w:t>requirement</w:t>
      </w:r>
      <w:r>
        <w:rPr>
          <w:spacing w:val="-3"/>
          <w:sz w:val="24"/>
        </w:rPr>
        <w:t> </w:t>
      </w:r>
      <w:r>
        <w:rPr>
          <w:sz w:val="24"/>
        </w:rPr>
        <w:t>statement.</w:t>
      </w:r>
      <w:r>
        <w:rPr>
          <w:spacing w:val="-2"/>
          <w:sz w:val="24"/>
        </w:rPr>
        <w:t> </w:t>
      </w:r>
      <w:r>
        <w:rPr>
          <w:sz w:val="24"/>
        </w:rPr>
        <w:t>Application</w:t>
      </w:r>
      <w:r>
        <w:rPr>
          <w:spacing w:val="-3"/>
          <w:sz w:val="24"/>
        </w:rPr>
        <w:t> </w:t>
      </w:r>
      <w:r>
        <w:rPr>
          <w:sz w:val="24"/>
        </w:rPr>
        <w:t>of</w:t>
      </w:r>
      <w:r>
        <w:rPr>
          <w:spacing w:val="-3"/>
          <w:sz w:val="24"/>
        </w:rPr>
        <w:t> </w:t>
      </w:r>
      <w:r>
        <w:rPr>
          <w:sz w:val="24"/>
        </w:rPr>
        <w:t>regulatory</w:t>
      </w:r>
      <w:r>
        <w:rPr>
          <w:spacing w:val="-3"/>
          <w:sz w:val="24"/>
        </w:rPr>
        <w:t> </w:t>
      </w:r>
      <w:r>
        <w:rPr>
          <w:sz w:val="24"/>
        </w:rPr>
        <w:t>guidance</w:t>
      </w:r>
      <w:r>
        <w:rPr>
          <w:spacing w:val="-3"/>
          <w:sz w:val="24"/>
        </w:rPr>
        <w:t> </w:t>
      </w:r>
      <w:r>
        <w:rPr>
          <w:sz w:val="24"/>
        </w:rPr>
        <w:t>[for</w:t>
      </w:r>
      <w:r>
        <w:rPr>
          <w:spacing w:val="-4"/>
          <w:sz w:val="24"/>
        </w:rPr>
        <w:t> </w:t>
      </w:r>
      <w:r>
        <w:rPr>
          <w:sz w:val="24"/>
        </w:rPr>
        <w:t>example,</w:t>
      </w:r>
      <w:r>
        <w:rPr>
          <w:spacing w:val="-3"/>
          <w:sz w:val="24"/>
        </w:rPr>
        <w:t> </w:t>
      </w:r>
      <w:r>
        <w:rPr>
          <w:sz w:val="24"/>
        </w:rPr>
        <w:t>Treasury Financial Manual (Pa), OMB Circular No. A-136] is restricted to the content identified in the “Federal Financial Management System Authoritative Reference” column. Throughout these statements, the phrases “consistent with” and “as specified” are used in association with authoritative source references, as follows:</w:t>
      </w:r>
    </w:p>
    <w:p>
      <w:pPr>
        <w:pStyle w:val="ListParagraph"/>
        <w:numPr>
          <w:ilvl w:val="1"/>
          <w:numId w:val="1"/>
        </w:numPr>
        <w:tabs>
          <w:tab w:pos="1920" w:val="left" w:leader="none"/>
        </w:tabs>
        <w:spacing w:line="244" w:lineRule="auto" w:before="0" w:after="0"/>
        <w:ind w:left="1920" w:right="478" w:hanging="360"/>
        <w:jc w:val="left"/>
        <w:rPr>
          <w:sz w:val="24"/>
        </w:rPr>
      </w:pPr>
      <w:r>
        <w:rPr>
          <w:b/>
          <w:sz w:val="24"/>
        </w:rPr>
        <w:t>Consistent</w:t>
      </w:r>
      <w:r>
        <w:rPr>
          <w:b/>
          <w:spacing w:val="-2"/>
          <w:sz w:val="24"/>
        </w:rPr>
        <w:t> </w:t>
      </w:r>
      <w:r>
        <w:rPr>
          <w:b/>
          <w:sz w:val="24"/>
        </w:rPr>
        <w:t>With:</w:t>
      </w:r>
      <w:r>
        <w:rPr>
          <w:b/>
          <w:spacing w:val="-4"/>
          <w:sz w:val="24"/>
        </w:rPr>
        <w:t> </w:t>
      </w:r>
      <w:r>
        <w:rPr>
          <w:sz w:val="24"/>
        </w:rPr>
        <w:t>Conveys</w:t>
      </w:r>
      <w:r>
        <w:rPr>
          <w:spacing w:val="-3"/>
          <w:sz w:val="24"/>
        </w:rPr>
        <w:t> </w:t>
      </w:r>
      <w:r>
        <w:rPr>
          <w:sz w:val="24"/>
        </w:rPr>
        <w:t>that</w:t>
      </w:r>
      <w:r>
        <w:rPr>
          <w:spacing w:val="-4"/>
          <w:sz w:val="24"/>
        </w:rPr>
        <w:t> </w:t>
      </w:r>
      <w:r>
        <w:rPr>
          <w:sz w:val="24"/>
        </w:rPr>
        <w:t>as</w:t>
      </w:r>
      <w:r>
        <w:rPr>
          <w:spacing w:val="-3"/>
          <w:sz w:val="24"/>
        </w:rPr>
        <w:t> </w:t>
      </w:r>
      <w:r>
        <w:rPr>
          <w:sz w:val="24"/>
        </w:rPr>
        <w:t>long</w:t>
      </w:r>
      <w:r>
        <w:rPr>
          <w:spacing w:val="-3"/>
          <w:sz w:val="24"/>
        </w:rPr>
        <w:t> </w:t>
      </w:r>
      <w:r>
        <w:rPr>
          <w:sz w:val="24"/>
        </w:rPr>
        <w:t>as</w:t>
      </w:r>
      <w:r>
        <w:rPr>
          <w:spacing w:val="-3"/>
          <w:sz w:val="24"/>
        </w:rPr>
        <w:t> </w:t>
      </w:r>
      <w:r>
        <w:rPr>
          <w:sz w:val="24"/>
        </w:rPr>
        <w:t>the</w:t>
      </w:r>
      <w:r>
        <w:rPr>
          <w:spacing w:val="-3"/>
          <w:sz w:val="24"/>
        </w:rPr>
        <w:t> </w:t>
      </w:r>
      <w:r>
        <w:rPr>
          <w:sz w:val="24"/>
        </w:rPr>
        <w:t>content</w:t>
      </w:r>
      <w:r>
        <w:rPr>
          <w:spacing w:val="-3"/>
          <w:sz w:val="24"/>
        </w:rPr>
        <w:t> </w:t>
      </w:r>
      <w:r>
        <w:rPr>
          <w:sz w:val="24"/>
        </w:rPr>
        <w:t>and</w:t>
      </w:r>
      <w:r>
        <w:rPr>
          <w:spacing w:val="-3"/>
          <w:sz w:val="24"/>
        </w:rPr>
        <w:t> </w:t>
      </w:r>
      <w:r>
        <w:rPr>
          <w:sz w:val="24"/>
        </w:rPr>
        <w:t>meaning</w:t>
      </w:r>
      <w:r>
        <w:rPr>
          <w:spacing w:val="-3"/>
          <w:sz w:val="24"/>
        </w:rPr>
        <w:t> </w:t>
      </w:r>
      <w:r>
        <w:rPr>
          <w:sz w:val="24"/>
        </w:rPr>
        <w:t>of</w:t>
      </w:r>
      <w:r>
        <w:rPr>
          <w:spacing w:val="-3"/>
          <w:sz w:val="24"/>
        </w:rPr>
        <w:t> </w:t>
      </w:r>
      <w:r>
        <w:rPr>
          <w:sz w:val="24"/>
        </w:rPr>
        <w:t>the</w:t>
      </w:r>
      <w:r>
        <w:rPr>
          <w:spacing w:val="-3"/>
          <w:sz w:val="24"/>
        </w:rPr>
        <w:t> </w:t>
      </w:r>
      <w:r>
        <w:rPr>
          <w:sz w:val="24"/>
        </w:rPr>
        <w:t>data/transaction/activity</w:t>
      </w:r>
      <w:r>
        <w:rPr>
          <w:spacing w:val="-3"/>
          <w:sz w:val="24"/>
        </w:rPr>
        <w:t> </w:t>
      </w:r>
      <w:r>
        <w:rPr>
          <w:sz w:val="24"/>
        </w:rPr>
        <w:t>are</w:t>
      </w:r>
      <w:r>
        <w:rPr>
          <w:spacing w:val="-3"/>
          <w:sz w:val="24"/>
        </w:rPr>
        <w:t> </w:t>
      </w:r>
      <w:r>
        <w:rPr>
          <w:sz w:val="24"/>
        </w:rPr>
        <w:t>equivalent</w:t>
      </w:r>
      <w:r>
        <w:rPr>
          <w:spacing w:val="-3"/>
          <w:sz w:val="24"/>
        </w:rPr>
        <w:t> </w:t>
      </w:r>
      <w:r>
        <w:rPr>
          <w:sz w:val="24"/>
        </w:rPr>
        <w:t>to</w:t>
      </w:r>
      <w:r>
        <w:rPr>
          <w:spacing w:val="-3"/>
          <w:sz w:val="24"/>
        </w:rPr>
        <w:t> </w:t>
      </w:r>
      <w:r>
        <w:rPr>
          <w:sz w:val="24"/>
        </w:rPr>
        <w:t>the</w:t>
      </w:r>
      <w:r>
        <w:rPr>
          <w:spacing w:val="-4"/>
          <w:sz w:val="24"/>
        </w:rPr>
        <w:t> </w:t>
      </w:r>
      <w:r>
        <w:rPr>
          <w:sz w:val="24"/>
        </w:rPr>
        <w:t>data/transaction/activity as defined in the authoritative source, the requirement will be considered satisfied.</w:t>
      </w:r>
    </w:p>
    <w:p>
      <w:pPr>
        <w:pStyle w:val="ListParagraph"/>
        <w:numPr>
          <w:ilvl w:val="1"/>
          <w:numId w:val="1"/>
        </w:numPr>
        <w:tabs>
          <w:tab w:pos="1920" w:val="left" w:leader="none"/>
        </w:tabs>
        <w:spacing w:line="244" w:lineRule="auto" w:before="20" w:after="0"/>
        <w:ind w:left="1920" w:right="478" w:hanging="360"/>
        <w:jc w:val="left"/>
        <w:rPr>
          <w:sz w:val="24"/>
        </w:rPr>
      </w:pPr>
      <w:r>
        <w:rPr>
          <w:b/>
          <w:sz w:val="24"/>
        </w:rPr>
        <w:t>As</w:t>
      </w:r>
      <w:r>
        <w:rPr>
          <w:b/>
          <w:spacing w:val="-2"/>
          <w:sz w:val="24"/>
        </w:rPr>
        <w:t> </w:t>
      </w:r>
      <w:r>
        <w:rPr>
          <w:b/>
          <w:sz w:val="24"/>
        </w:rPr>
        <w:t>Specified:</w:t>
      </w:r>
      <w:r>
        <w:rPr>
          <w:b/>
          <w:spacing w:val="-2"/>
          <w:sz w:val="24"/>
        </w:rPr>
        <w:t> </w:t>
      </w:r>
      <w:r>
        <w:rPr>
          <w:sz w:val="24"/>
        </w:rPr>
        <w:t>Conveys</w:t>
      </w:r>
      <w:r>
        <w:rPr>
          <w:spacing w:val="-2"/>
          <w:sz w:val="24"/>
        </w:rPr>
        <w:t> </w:t>
      </w:r>
      <w:r>
        <w:rPr>
          <w:sz w:val="24"/>
        </w:rPr>
        <w:t>that</w:t>
      </w:r>
      <w:r>
        <w:rPr>
          <w:spacing w:val="-3"/>
          <w:sz w:val="24"/>
        </w:rPr>
        <w:t> </w:t>
      </w:r>
      <w:r>
        <w:rPr>
          <w:sz w:val="24"/>
        </w:rPr>
        <w:t>the</w:t>
      </w:r>
      <w:r>
        <w:rPr>
          <w:spacing w:val="-3"/>
          <w:sz w:val="24"/>
        </w:rPr>
        <w:t> </w:t>
      </w:r>
      <w:r>
        <w:rPr>
          <w:sz w:val="24"/>
        </w:rPr>
        <w:t>content</w:t>
      </w:r>
      <w:r>
        <w:rPr>
          <w:spacing w:val="-2"/>
          <w:sz w:val="24"/>
        </w:rPr>
        <w:t> </w:t>
      </w:r>
      <w:r>
        <w:rPr>
          <w:sz w:val="24"/>
        </w:rPr>
        <w:t>and</w:t>
      </w:r>
      <w:r>
        <w:rPr>
          <w:spacing w:val="-2"/>
          <w:sz w:val="24"/>
        </w:rPr>
        <w:t> </w:t>
      </w:r>
      <w:r>
        <w:rPr>
          <w:sz w:val="24"/>
        </w:rPr>
        <w:t>meaning</w:t>
      </w:r>
      <w:r>
        <w:rPr>
          <w:spacing w:val="-1"/>
          <w:sz w:val="24"/>
        </w:rPr>
        <w:t> </w:t>
      </w:r>
      <w:r>
        <w:rPr>
          <w:sz w:val="24"/>
        </w:rPr>
        <w:t>as</w:t>
      </w:r>
      <w:r>
        <w:rPr>
          <w:spacing w:val="-2"/>
          <w:sz w:val="24"/>
        </w:rPr>
        <w:t> </w:t>
      </w:r>
      <w:r>
        <w:rPr>
          <w:sz w:val="24"/>
        </w:rPr>
        <w:t>well</w:t>
      </w:r>
      <w:r>
        <w:rPr>
          <w:spacing w:val="-2"/>
          <w:sz w:val="24"/>
        </w:rPr>
        <w:t> </w:t>
      </w:r>
      <w:r>
        <w:rPr>
          <w:sz w:val="24"/>
        </w:rPr>
        <w:t>as</w:t>
      </w:r>
      <w:r>
        <w:rPr>
          <w:spacing w:val="-2"/>
          <w:sz w:val="24"/>
        </w:rPr>
        <w:t> </w:t>
      </w:r>
      <w:r>
        <w:rPr>
          <w:sz w:val="24"/>
        </w:rPr>
        <w:t>format</w:t>
      </w:r>
      <w:r>
        <w:rPr>
          <w:spacing w:val="-2"/>
          <w:sz w:val="24"/>
        </w:rPr>
        <w:t> </w:t>
      </w:r>
      <w:r>
        <w:rPr>
          <w:sz w:val="24"/>
        </w:rPr>
        <w:t>of</w:t>
      </w:r>
      <w:r>
        <w:rPr>
          <w:spacing w:val="-3"/>
          <w:sz w:val="24"/>
        </w:rPr>
        <w:t> </w:t>
      </w:r>
      <w:r>
        <w:rPr>
          <w:sz w:val="24"/>
        </w:rPr>
        <w:t>the</w:t>
      </w:r>
      <w:r>
        <w:rPr>
          <w:spacing w:val="-2"/>
          <w:sz w:val="24"/>
        </w:rPr>
        <w:t> </w:t>
      </w:r>
      <w:r>
        <w:rPr>
          <w:sz w:val="24"/>
        </w:rPr>
        <w:t>data/report/transaction</w:t>
      </w:r>
      <w:r>
        <w:rPr>
          <w:spacing w:val="-2"/>
          <w:sz w:val="24"/>
        </w:rPr>
        <w:t> </w:t>
      </w:r>
      <w:r>
        <w:rPr>
          <w:sz w:val="24"/>
        </w:rPr>
        <w:t>must</w:t>
      </w:r>
      <w:r>
        <w:rPr>
          <w:spacing w:val="-1"/>
          <w:sz w:val="24"/>
        </w:rPr>
        <w:t> </w:t>
      </w:r>
      <w:r>
        <w:rPr>
          <w:sz w:val="24"/>
        </w:rPr>
        <w:t>match</w:t>
      </w:r>
      <w:r>
        <w:rPr>
          <w:spacing w:val="-2"/>
          <w:sz w:val="24"/>
        </w:rPr>
        <w:t> </w:t>
      </w:r>
      <w:r>
        <w:rPr>
          <w:sz w:val="24"/>
        </w:rPr>
        <w:t>the</w:t>
      </w:r>
      <w:r>
        <w:rPr>
          <w:spacing w:val="-2"/>
          <w:sz w:val="24"/>
        </w:rPr>
        <w:t> </w:t>
      </w:r>
      <w:r>
        <w:rPr>
          <w:sz w:val="24"/>
        </w:rPr>
        <w:t>specification</w:t>
      </w:r>
      <w:r>
        <w:rPr>
          <w:spacing w:val="-1"/>
          <w:sz w:val="24"/>
        </w:rPr>
        <w:t> </w:t>
      </w:r>
      <w:r>
        <w:rPr>
          <w:sz w:val="24"/>
        </w:rPr>
        <w:t>defined</w:t>
      </w:r>
      <w:r>
        <w:rPr>
          <w:spacing w:val="-2"/>
          <w:sz w:val="24"/>
        </w:rPr>
        <w:t> </w:t>
      </w:r>
      <w:r>
        <w:rPr>
          <w:sz w:val="24"/>
        </w:rPr>
        <w:t>in</w:t>
      </w:r>
      <w:r>
        <w:rPr>
          <w:spacing w:val="-2"/>
          <w:sz w:val="24"/>
        </w:rPr>
        <w:t> </w:t>
      </w:r>
      <w:r>
        <w:rPr>
          <w:sz w:val="24"/>
        </w:rPr>
        <w:t>the authoritative source reference for the requirement to be considered satisfied.</w:t>
      </w:r>
    </w:p>
    <w:p>
      <w:pPr>
        <w:pStyle w:val="ListParagraph"/>
        <w:numPr>
          <w:ilvl w:val="0"/>
          <w:numId w:val="1"/>
        </w:numPr>
        <w:tabs>
          <w:tab w:pos="839" w:val="left" w:leader="none"/>
          <w:tab w:pos="840" w:val="left" w:leader="none"/>
        </w:tabs>
        <w:spacing w:line="261" w:lineRule="auto" w:before="23" w:after="0"/>
        <w:ind w:left="840" w:right="1091" w:hanging="360"/>
        <w:jc w:val="left"/>
        <w:rPr>
          <w:sz w:val="24"/>
        </w:rPr>
      </w:pPr>
      <w:r>
        <w:rPr>
          <w:b/>
          <w:sz w:val="24"/>
        </w:rPr>
        <w:t>Federal</w:t>
      </w:r>
      <w:r>
        <w:rPr>
          <w:b/>
          <w:spacing w:val="-3"/>
          <w:sz w:val="24"/>
        </w:rPr>
        <w:t> </w:t>
      </w:r>
      <w:r>
        <w:rPr>
          <w:b/>
          <w:sz w:val="24"/>
        </w:rPr>
        <w:t>Financial</w:t>
      </w:r>
      <w:r>
        <w:rPr>
          <w:b/>
          <w:spacing w:val="-3"/>
          <w:sz w:val="24"/>
        </w:rPr>
        <w:t> </w:t>
      </w:r>
      <w:r>
        <w:rPr>
          <w:sz w:val="24"/>
        </w:rPr>
        <w:t>Management</w:t>
      </w:r>
      <w:r>
        <w:rPr>
          <w:spacing w:val="-3"/>
          <w:sz w:val="24"/>
        </w:rPr>
        <w:t> </w:t>
      </w:r>
      <w:r>
        <w:rPr>
          <w:sz w:val="24"/>
        </w:rPr>
        <w:t>System</w:t>
      </w:r>
      <w:r>
        <w:rPr>
          <w:spacing w:val="-3"/>
          <w:sz w:val="24"/>
        </w:rPr>
        <w:t> </w:t>
      </w:r>
      <w:r>
        <w:rPr>
          <w:sz w:val="24"/>
        </w:rPr>
        <w:t>Authoritative</w:t>
      </w:r>
      <w:r>
        <w:rPr>
          <w:spacing w:val="-3"/>
          <w:sz w:val="24"/>
        </w:rPr>
        <w:t> </w:t>
      </w:r>
      <w:r>
        <w:rPr>
          <w:sz w:val="24"/>
        </w:rPr>
        <w:t>Reference:</w:t>
      </w:r>
      <w:r>
        <w:rPr>
          <w:spacing w:val="-3"/>
          <w:sz w:val="24"/>
        </w:rPr>
        <w:t> </w:t>
      </w:r>
      <w:r>
        <w:rPr>
          <w:sz w:val="24"/>
        </w:rPr>
        <w:t>Provides</w:t>
      </w:r>
      <w:r>
        <w:rPr>
          <w:spacing w:val="-3"/>
          <w:sz w:val="24"/>
        </w:rPr>
        <w:t> </w:t>
      </w:r>
      <w:r>
        <w:rPr>
          <w:sz w:val="24"/>
        </w:rPr>
        <w:t>the</w:t>
      </w:r>
      <w:r>
        <w:rPr>
          <w:spacing w:val="-3"/>
          <w:sz w:val="24"/>
        </w:rPr>
        <w:t> </w:t>
      </w:r>
      <w:r>
        <w:rPr>
          <w:sz w:val="24"/>
        </w:rPr>
        <w:t>current</w:t>
      </w:r>
      <w:r>
        <w:rPr>
          <w:spacing w:val="-4"/>
          <w:sz w:val="24"/>
        </w:rPr>
        <w:t> </w:t>
      </w:r>
      <w:r>
        <w:rPr>
          <w:sz w:val="24"/>
        </w:rPr>
        <w:t>federal</w:t>
      </w:r>
      <w:r>
        <w:rPr>
          <w:spacing w:val="-3"/>
          <w:sz w:val="24"/>
        </w:rPr>
        <w:t> </w:t>
      </w:r>
      <w:r>
        <w:rPr>
          <w:sz w:val="24"/>
        </w:rPr>
        <w:t>regulatory</w:t>
      </w:r>
      <w:r>
        <w:rPr>
          <w:spacing w:val="-3"/>
          <w:sz w:val="24"/>
        </w:rPr>
        <w:t> </w:t>
      </w:r>
      <w:r>
        <w:rPr>
          <w:sz w:val="24"/>
        </w:rPr>
        <w:t>authoritative</w:t>
      </w:r>
      <w:r>
        <w:rPr>
          <w:spacing w:val="-3"/>
          <w:sz w:val="24"/>
        </w:rPr>
        <w:t> </w:t>
      </w:r>
      <w:r>
        <w:rPr>
          <w:sz w:val="24"/>
        </w:rPr>
        <w:t>sources</w:t>
      </w:r>
      <w:r>
        <w:rPr>
          <w:spacing w:val="-3"/>
          <w:sz w:val="24"/>
        </w:rPr>
        <w:t> </w:t>
      </w:r>
      <w:r>
        <w:rPr>
          <w:sz w:val="24"/>
        </w:rPr>
        <w:t>that</w:t>
      </w:r>
      <w:r>
        <w:rPr>
          <w:spacing w:val="-3"/>
          <w:sz w:val="24"/>
        </w:rPr>
        <w:t> </w:t>
      </w:r>
      <w:r>
        <w:rPr>
          <w:sz w:val="24"/>
        </w:rPr>
        <w:t>contain</w:t>
      </w:r>
      <w:r>
        <w:rPr>
          <w:spacing w:val="-3"/>
          <w:sz w:val="24"/>
        </w:rPr>
        <w:t> </w:t>
      </w:r>
      <w:r>
        <w:rPr>
          <w:sz w:val="24"/>
        </w:rPr>
        <w:t>additional clarification of business processes and data specifications.</w:t>
      </w:r>
    </w:p>
    <w:p>
      <w:pPr>
        <w:pStyle w:val="BodyText"/>
        <w:spacing w:before="10"/>
        <w:rPr>
          <w:sz w:val="34"/>
        </w:rPr>
      </w:pPr>
    </w:p>
    <w:p>
      <w:pPr>
        <w:pStyle w:val="Heading1"/>
        <w:spacing w:before="1"/>
      </w:pPr>
      <w:bookmarkStart w:name="Intended Use" w:id="9"/>
      <w:bookmarkEnd w:id="9"/>
      <w:r>
        <w:rPr/>
      </w:r>
      <w:bookmarkStart w:name="_bookmark5" w:id="10"/>
      <w:bookmarkEnd w:id="10"/>
      <w:r>
        <w:rPr/>
      </w:r>
      <w:r>
        <w:rPr>
          <w:color w:val="016699"/>
        </w:rPr>
        <w:t>Intended</w:t>
      </w:r>
      <w:r>
        <w:rPr>
          <w:color w:val="016699"/>
          <w:spacing w:val="-3"/>
        </w:rPr>
        <w:t> </w:t>
      </w:r>
      <w:r>
        <w:rPr>
          <w:color w:val="016699"/>
          <w:spacing w:val="-5"/>
        </w:rPr>
        <w:t>Use</w:t>
      </w:r>
    </w:p>
    <w:p>
      <w:pPr>
        <w:pStyle w:val="BodyText"/>
        <w:spacing w:before="40"/>
        <w:ind w:left="120"/>
      </w:pPr>
      <w:r>
        <w:rPr/>
        <w:t>These</w:t>
      </w:r>
      <w:r>
        <w:rPr>
          <w:spacing w:val="-6"/>
        </w:rPr>
        <w:t> </w:t>
      </w:r>
      <w:r>
        <w:rPr/>
        <w:t>requirements</w:t>
      </w:r>
      <w:r>
        <w:rPr>
          <w:spacing w:val="-3"/>
        </w:rPr>
        <w:t> </w:t>
      </w:r>
      <w:r>
        <w:rPr/>
        <w:t>are</w:t>
      </w:r>
      <w:r>
        <w:rPr>
          <w:spacing w:val="-4"/>
        </w:rPr>
        <w:t> </w:t>
      </w:r>
      <w:r>
        <w:rPr/>
        <w:t>used</w:t>
      </w:r>
      <w:r>
        <w:rPr>
          <w:spacing w:val="-3"/>
        </w:rPr>
        <w:t> </w:t>
      </w:r>
      <w:r>
        <w:rPr/>
        <w:t>during</w:t>
      </w:r>
      <w:r>
        <w:rPr>
          <w:spacing w:val="-4"/>
        </w:rPr>
        <w:t> </w:t>
      </w:r>
      <w:r>
        <w:rPr/>
        <w:t>and</w:t>
      </w:r>
      <w:r>
        <w:rPr>
          <w:spacing w:val="-3"/>
        </w:rPr>
        <w:t> </w:t>
      </w:r>
      <w:r>
        <w:rPr/>
        <w:t>after</w:t>
      </w:r>
      <w:r>
        <w:rPr>
          <w:spacing w:val="-4"/>
        </w:rPr>
        <w:t> </w:t>
      </w:r>
      <w:r>
        <w:rPr/>
        <w:t>the</w:t>
      </w:r>
      <w:r>
        <w:rPr>
          <w:spacing w:val="-3"/>
        </w:rPr>
        <w:t> </w:t>
      </w:r>
      <w:r>
        <w:rPr/>
        <w:t>acquisition</w:t>
      </w:r>
      <w:r>
        <w:rPr>
          <w:spacing w:val="-4"/>
        </w:rPr>
        <w:t> </w:t>
      </w:r>
      <w:r>
        <w:rPr/>
        <w:t>and</w:t>
      </w:r>
      <w:r>
        <w:rPr>
          <w:spacing w:val="-3"/>
        </w:rPr>
        <w:t> </w:t>
      </w:r>
      <w:r>
        <w:rPr/>
        <w:t>implementation</w:t>
      </w:r>
      <w:r>
        <w:rPr>
          <w:spacing w:val="-4"/>
        </w:rPr>
        <w:t> </w:t>
      </w:r>
      <w:r>
        <w:rPr/>
        <w:t>of</w:t>
      </w:r>
      <w:r>
        <w:rPr>
          <w:spacing w:val="-3"/>
        </w:rPr>
        <w:t> </w:t>
      </w:r>
      <w:r>
        <w:rPr/>
        <w:t>the</w:t>
      </w:r>
      <w:r>
        <w:rPr>
          <w:spacing w:val="-5"/>
        </w:rPr>
        <w:t> </w:t>
      </w:r>
      <w:r>
        <w:rPr/>
        <w:t>Financial</w:t>
      </w:r>
      <w:r>
        <w:rPr>
          <w:spacing w:val="-3"/>
        </w:rPr>
        <w:t> </w:t>
      </w:r>
      <w:r>
        <w:rPr/>
        <w:t>Management</w:t>
      </w:r>
      <w:r>
        <w:rPr>
          <w:spacing w:val="-2"/>
        </w:rPr>
        <w:t> </w:t>
      </w:r>
      <w:r>
        <w:rPr/>
        <w:t>System</w:t>
      </w:r>
      <w:r>
        <w:rPr>
          <w:spacing w:val="-3"/>
        </w:rPr>
        <w:t> </w:t>
      </w:r>
      <w:r>
        <w:rPr>
          <w:spacing w:val="-2"/>
        </w:rPr>
        <w:t>solutions:</w:t>
      </w:r>
    </w:p>
    <w:p>
      <w:pPr>
        <w:pStyle w:val="ListParagraph"/>
        <w:numPr>
          <w:ilvl w:val="0"/>
          <w:numId w:val="1"/>
        </w:numPr>
        <w:tabs>
          <w:tab w:pos="839" w:val="left" w:leader="none"/>
          <w:tab w:pos="840" w:val="left" w:leader="none"/>
        </w:tabs>
        <w:spacing w:line="240" w:lineRule="auto" w:before="147" w:after="0"/>
        <w:ind w:left="840" w:right="0" w:hanging="360"/>
        <w:jc w:val="left"/>
        <w:rPr>
          <w:sz w:val="24"/>
        </w:rPr>
      </w:pPr>
      <w:r>
        <w:rPr>
          <w:sz w:val="24"/>
        </w:rPr>
        <w:t>During</w:t>
      </w:r>
      <w:r>
        <w:rPr>
          <w:spacing w:val="-8"/>
          <w:sz w:val="24"/>
        </w:rPr>
        <w:t> </w:t>
      </w:r>
      <w:r>
        <w:rPr>
          <w:sz w:val="24"/>
        </w:rPr>
        <w:t>the</w:t>
      </w:r>
      <w:r>
        <w:rPr>
          <w:spacing w:val="-5"/>
          <w:sz w:val="24"/>
        </w:rPr>
        <w:t> </w:t>
      </w:r>
      <w:r>
        <w:rPr>
          <w:sz w:val="24"/>
        </w:rPr>
        <w:t>service/technology</w:t>
      </w:r>
      <w:r>
        <w:rPr>
          <w:spacing w:val="-5"/>
          <w:sz w:val="24"/>
        </w:rPr>
        <w:t> </w:t>
      </w:r>
      <w:r>
        <w:rPr>
          <w:sz w:val="24"/>
        </w:rPr>
        <w:t>acquisition</w:t>
      </w:r>
      <w:r>
        <w:rPr>
          <w:spacing w:val="-6"/>
          <w:sz w:val="24"/>
        </w:rPr>
        <w:t> </w:t>
      </w:r>
      <w:r>
        <w:rPr>
          <w:sz w:val="24"/>
        </w:rPr>
        <w:t>phase,</w:t>
      </w:r>
      <w:r>
        <w:rPr>
          <w:spacing w:val="-5"/>
          <w:sz w:val="24"/>
        </w:rPr>
        <w:t> </w:t>
      </w:r>
      <w:r>
        <w:rPr>
          <w:sz w:val="24"/>
        </w:rPr>
        <w:t>agencies</w:t>
      </w:r>
      <w:r>
        <w:rPr>
          <w:spacing w:val="-5"/>
          <w:sz w:val="24"/>
        </w:rPr>
        <w:t> </w:t>
      </w:r>
      <w:r>
        <w:rPr>
          <w:spacing w:val="-2"/>
          <w:sz w:val="24"/>
        </w:rPr>
        <w:t>should:</w:t>
      </w:r>
    </w:p>
    <w:p>
      <w:pPr>
        <w:pStyle w:val="ListParagraph"/>
        <w:numPr>
          <w:ilvl w:val="1"/>
          <w:numId w:val="1"/>
        </w:numPr>
        <w:tabs>
          <w:tab w:pos="1920" w:val="left" w:leader="none"/>
        </w:tabs>
        <w:spacing w:line="244" w:lineRule="auto" w:before="26" w:after="0"/>
        <w:ind w:left="1920" w:right="540" w:hanging="360"/>
        <w:jc w:val="left"/>
        <w:rPr>
          <w:sz w:val="24"/>
        </w:rPr>
      </w:pPr>
      <w:r>
        <w:rPr>
          <w:sz w:val="24"/>
        </w:rPr>
        <w:t>Use</w:t>
      </w:r>
      <w:r>
        <w:rPr>
          <w:spacing w:val="-3"/>
          <w:sz w:val="24"/>
        </w:rPr>
        <w:t> </w:t>
      </w:r>
      <w:r>
        <w:rPr>
          <w:sz w:val="24"/>
        </w:rPr>
        <w:t>these</w:t>
      </w:r>
      <w:r>
        <w:rPr>
          <w:spacing w:val="-3"/>
          <w:sz w:val="24"/>
        </w:rPr>
        <w:t> </w:t>
      </w:r>
      <w:r>
        <w:rPr>
          <w:sz w:val="24"/>
        </w:rPr>
        <w:t>requirements</w:t>
      </w:r>
      <w:r>
        <w:rPr>
          <w:spacing w:val="-3"/>
          <w:sz w:val="24"/>
        </w:rPr>
        <w:t> </w:t>
      </w:r>
      <w:r>
        <w:rPr>
          <w:sz w:val="24"/>
        </w:rPr>
        <w:t>(including</w:t>
      </w:r>
      <w:r>
        <w:rPr>
          <w:spacing w:val="-2"/>
          <w:sz w:val="24"/>
        </w:rPr>
        <w:t> </w:t>
      </w:r>
      <w:r>
        <w:rPr>
          <w:sz w:val="24"/>
        </w:rPr>
        <w:t>the</w:t>
      </w:r>
      <w:r>
        <w:rPr>
          <w:spacing w:val="-3"/>
          <w:sz w:val="24"/>
        </w:rPr>
        <w:t> </w:t>
      </w:r>
      <w:r>
        <w:rPr>
          <w:sz w:val="24"/>
        </w:rPr>
        <w:t>authoritative</w:t>
      </w:r>
      <w:r>
        <w:rPr>
          <w:spacing w:val="-3"/>
          <w:sz w:val="24"/>
        </w:rPr>
        <w:t> </w:t>
      </w:r>
      <w:r>
        <w:rPr>
          <w:sz w:val="24"/>
        </w:rPr>
        <w:t>source</w:t>
      </w:r>
      <w:r>
        <w:rPr>
          <w:spacing w:val="-3"/>
          <w:sz w:val="24"/>
        </w:rPr>
        <w:t> </w:t>
      </w:r>
      <w:r>
        <w:rPr>
          <w:sz w:val="24"/>
        </w:rPr>
        <w:t>references)</w:t>
      </w:r>
      <w:r>
        <w:rPr>
          <w:spacing w:val="-2"/>
          <w:sz w:val="24"/>
        </w:rPr>
        <w:t> </w:t>
      </w:r>
      <w:r>
        <w:rPr>
          <w:sz w:val="24"/>
        </w:rPr>
        <w:t>when</w:t>
      </w:r>
      <w:r>
        <w:rPr>
          <w:spacing w:val="-3"/>
          <w:sz w:val="24"/>
        </w:rPr>
        <w:t> </w:t>
      </w:r>
      <w:r>
        <w:rPr>
          <w:sz w:val="24"/>
        </w:rPr>
        <w:t>developing</w:t>
      </w:r>
      <w:r>
        <w:rPr>
          <w:spacing w:val="-3"/>
          <w:sz w:val="24"/>
        </w:rPr>
        <w:t> </w:t>
      </w:r>
      <w:r>
        <w:rPr>
          <w:sz w:val="24"/>
        </w:rPr>
        <w:t>the</w:t>
      </w:r>
      <w:r>
        <w:rPr>
          <w:spacing w:val="-3"/>
          <w:sz w:val="24"/>
        </w:rPr>
        <w:t> </w:t>
      </w:r>
      <w:r>
        <w:rPr>
          <w:sz w:val="24"/>
        </w:rPr>
        <w:t>technical</w:t>
      </w:r>
      <w:r>
        <w:rPr>
          <w:spacing w:val="-2"/>
          <w:sz w:val="24"/>
        </w:rPr>
        <w:t> </w:t>
      </w:r>
      <w:r>
        <w:rPr>
          <w:sz w:val="24"/>
        </w:rPr>
        <w:t>evaluation</w:t>
      </w:r>
      <w:r>
        <w:rPr>
          <w:spacing w:val="-3"/>
          <w:sz w:val="24"/>
        </w:rPr>
        <w:t> </w:t>
      </w:r>
      <w:r>
        <w:rPr>
          <w:sz w:val="24"/>
        </w:rPr>
        <w:t>criteria</w:t>
      </w:r>
      <w:r>
        <w:rPr>
          <w:spacing w:val="-3"/>
          <w:sz w:val="24"/>
        </w:rPr>
        <w:t> </w:t>
      </w:r>
      <w:r>
        <w:rPr>
          <w:sz w:val="24"/>
        </w:rPr>
        <w:t>for</w:t>
      </w:r>
      <w:r>
        <w:rPr>
          <w:spacing w:val="-2"/>
          <w:sz w:val="24"/>
        </w:rPr>
        <w:t> </w:t>
      </w:r>
      <w:r>
        <w:rPr>
          <w:sz w:val="24"/>
        </w:rPr>
        <w:t>agency</w:t>
      </w:r>
      <w:r>
        <w:rPr>
          <w:spacing w:val="-3"/>
          <w:sz w:val="24"/>
        </w:rPr>
        <w:t> </w:t>
      </w:r>
      <w:r>
        <w:rPr>
          <w:sz w:val="24"/>
        </w:rPr>
        <w:t>requests</w:t>
      </w:r>
      <w:r>
        <w:rPr>
          <w:spacing w:val="-3"/>
          <w:sz w:val="24"/>
        </w:rPr>
        <w:t> </w:t>
      </w:r>
      <w:r>
        <w:rPr>
          <w:sz w:val="24"/>
        </w:rPr>
        <w:t>for </w:t>
      </w:r>
      <w:r>
        <w:rPr>
          <w:spacing w:val="-2"/>
          <w:sz w:val="24"/>
        </w:rPr>
        <w:t>proposal;</w:t>
      </w:r>
    </w:p>
    <w:p>
      <w:pPr>
        <w:pStyle w:val="ListParagraph"/>
        <w:numPr>
          <w:ilvl w:val="1"/>
          <w:numId w:val="1"/>
        </w:numPr>
        <w:tabs>
          <w:tab w:pos="1920" w:val="left" w:leader="none"/>
        </w:tabs>
        <w:spacing w:line="244" w:lineRule="auto" w:before="23" w:after="0"/>
        <w:ind w:left="1920" w:right="505" w:hanging="360"/>
        <w:jc w:val="left"/>
        <w:rPr>
          <w:sz w:val="24"/>
        </w:rPr>
      </w:pPr>
      <w:r>
        <w:rPr>
          <w:sz w:val="24"/>
        </w:rPr>
        <w:t>Require</w:t>
      </w:r>
      <w:r>
        <w:rPr>
          <w:spacing w:val="-2"/>
          <w:sz w:val="24"/>
        </w:rPr>
        <w:t> </w:t>
      </w:r>
      <w:r>
        <w:rPr>
          <w:sz w:val="24"/>
        </w:rPr>
        <w:t>potential</w:t>
      </w:r>
      <w:r>
        <w:rPr>
          <w:spacing w:val="-2"/>
          <w:sz w:val="24"/>
        </w:rPr>
        <w:t> </w:t>
      </w:r>
      <w:r>
        <w:rPr>
          <w:sz w:val="24"/>
        </w:rPr>
        <w:t>providers</w:t>
      </w:r>
      <w:r>
        <w:rPr>
          <w:spacing w:val="-2"/>
          <w:sz w:val="24"/>
        </w:rPr>
        <w:t> </w:t>
      </w:r>
      <w:r>
        <w:rPr>
          <w:sz w:val="24"/>
        </w:rPr>
        <w:t>(e.g.,</w:t>
      </w:r>
      <w:r>
        <w:rPr>
          <w:spacing w:val="-3"/>
          <w:sz w:val="24"/>
        </w:rPr>
        <w:t> </w:t>
      </w:r>
      <w:r>
        <w:rPr>
          <w:sz w:val="24"/>
        </w:rPr>
        <w:t>hardware,</w:t>
      </w:r>
      <w:r>
        <w:rPr>
          <w:spacing w:val="-2"/>
          <w:sz w:val="24"/>
        </w:rPr>
        <w:t> </w:t>
      </w:r>
      <w:r>
        <w:rPr>
          <w:sz w:val="24"/>
        </w:rPr>
        <w:t>software,</w:t>
      </w:r>
      <w:r>
        <w:rPr>
          <w:spacing w:val="-2"/>
          <w:sz w:val="24"/>
        </w:rPr>
        <w:t> </w:t>
      </w:r>
      <w:r>
        <w:rPr>
          <w:sz w:val="24"/>
        </w:rPr>
        <w:t>services)</w:t>
      </w:r>
      <w:r>
        <w:rPr>
          <w:spacing w:val="-1"/>
          <w:sz w:val="24"/>
        </w:rPr>
        <w:t> </w:t>
      </w:r>
      <w:r>
        <w:rPr>
          <w:sz w:val="24"/>
        </w:rPr>
        <w:t>to</w:t>
      </w:r>
      <w:r>
        <w:rPr>
          <w:spacing w:val="-3"/>
          <w:sz w:val="24"/>
        </w:rPr>
        <w:t> </w:t>
      </w:r>
      <w:r>
        <w:rPr>
          <w:sz w:val="24"/>
        </w:rPr>
        <w:t>document</w:t>
      </w:r>
      <w:r>
        <w:rPr>
          <w:spacing w:val="-2"/>
          <w:sz w:val="24"/>
        </w:rPr>
        <w:t> </w:t>
      </w:r>
      <w:r>
        <w:rPr>
          <w:sz w:val="24"/>
        </w:rPr>
        <w:t>or</w:t>
      </w:r>
      <w:r>
        <w:rPr>
          <w:spacing w:val="-2"/>
          <w:sz w:val="24"/>
        </w:rPr>
        <w:t> </w:t>
      </w:r>
      <w:r>
        <w:rPr>
          <w:sz w:val="24"/>
        </w:rPr>
        <w:t>demonstrate</w:t>
      </w:r>
      <w:r>
        <w:rPr>
          <w:spacing w:val="-2"/>
          <w:sz w:val="24"/>
        </w:rPr>
        <w:t> </w:t>
      </w:r>
      <w:r>
        <w:rPr>
          <w:sz w:val="24"/>
        </w:rPr>
        <w:t>as</w:t>
      </w:r>
      <w:r>
        <w:rPr>
          <w:spacing w:val="-2"/>
          <w:sz w:val="24"/>
        </w:rPr>
        <w:t> </w:t>
      </w:r>
      <w:r>
        <w:rPr>
          <w:sz w:val="24"/>
        </w:rPr>
        <w:t>part</w:t>
      </w:r>
      <w:r>
        <w:rPr>
          <w:spacing w:val="-3"/>
          <w:sz w:val="24"/>
        </w:rPr>
        <w:t> </w:t>
      </w:r>
      <w:r>
        <w:rPr>
          <w:sz w:val="24"/>
        </w:rPr>
        <w:t>of</w:t>
      </w:r>
      <w:r>
        <w:rPr>
          <w:spacing w:val="-3"/>
          <w:sz w:val="24"/>
        </w:rPr>
        <w:t> </w:t>
      </w:r>
      <w:r>
        <w:rPr>
          <w:sz w:val="24"/>
        </w:rPr>
        <w:t>their</w:t>
      </w:r>
      <w:r>
        <w:rPr>
          <w:spacing w:val="-1"/>
          <w:sz w:val="24"/>
        </w:rPr>
        <w:t> </w:t>
      </w:r>
      <w:r>
        <w:rPr>
          <w:sz w:val="24"/>
        </w:rPr>
        <w:t>response</w:t>
      </w:r>
      <w:r>
        <w:rPr>
          <w:spacing w:val="-2"/>
          <w:sz w:val="24"/>
        </w:rPr>
        <w:t> </w:t>
      </w:r>
      <w:r>
        <w:rPr>
          <w:sz w:val="24"/>
        </w:rPr>
        <w:t>to</w:t>
      </w:r>
      <w:r>
        <w:rPr>
          <w:spacing w:val="-2"/>
          <w:sz w:val="24"/>
        </w:rPr>
        <w:t> </w:t>
      </w:r>
      <w:r>
        <w:rPr>
          <w:sz w:val="24"/>
        </w:rPr>
        <w:t>the</w:t>
      </w:r>
      <w:r>
        <w:rPr>
          <w:spacing w:val="-2"/>
          <w:sz w:val="24"/>
        </w:rPr>
        <w:t> </w:t>
      </w:r>
      <w:r>
        <w:rPr>
          <w:sz w:val="24"/>
        </w:rPr>
        <w:t>request</w:t>
      </w:r>
      <w:r>
        <w:rPr>
          <w:spacing w:val="-1"/>
          <w:sz w:val="24"/>
        </w:rPr>
        <w:t> </w:t>
      </w:r>
      <w:r>
        <w:rPr>
          <w:sz w:val="24"/>
        </w:rPr>
        <w:t>for</w:t>
      </w:r>
      <w:r>
        <w:rPr>
          <w:spacing w:val="-2"/>
          <w:sz w:val="24"/>
        </w:rPr>
        <w:t> </w:t>
      </w:r>
      <w:r>
        <w:rPr>
          <w:sz w:val="24"/>
        </w:rPr>
        <w:t>proposal their ability to meet the technical evaluation criteria developed using these requirements; and</w:t>
      </w:r>
    </w:p>
    <w:p>
      <w:pPr>
        <w:pStyle w:val="ListParagraph"/>
        <w:numPr>
          <w:ilvl w:val="1"/>
          <w:numId w:val="1"/>
        </w:numPr>
        <w:tabs>
          <w:tab w:pos="1920" w:val="left" w:leader="none"/>
        </w:tabs>
        <w:spacing w:line="244" w:lineRule="auto" w:before="23" w:after="0"/>
        <w:ind w:left="1920" w:right="731" w:hanging="360"/>
        <w:jc w:val="left"/>
        <w:rPr>
          <w:sz w:val="24"/>
        </w:rPr>
      </w:pPr>
      <w:r>
        <w:rPr>
          <w:sz w:val="24"/>
        </w:rPr>
        <w:t>Identify</w:t>
      </w:r>
      <w:r>
        <w:rPr>
          <w:spacing w:val="-3"/>
          <w:sz w:val="24"/>
        </w:rPr>
        <w:t> </w:t>
      </w:r>
      <w:r>
        <w:rPr>
          <w:sz w:val="24"/>
        </w:rPr>
        <w:t>during</w:t>
      </w:r>
      <w:r>
        <w:rPr>
          <w:spacing w:val="-3"/>
          <w:sz w:val="24"/>
        </w:rPr>
        <w:t> </w:t>
      </w:r>
      <w:r>
        <w:rPr>
          <w:sz w:val="24"/>
        </w:rPr>
        <w:t>proposal</w:t>
      </w:r>
      <w:r>
        <w:rPr>
          <w:spacing w:val="-3"/>
          <w:sz w:val="24"/>
        </w:rPr>
        <w:t> </w:t>
      </w:r>
      <w:r>
        <w:rPr>
          <w:sz w:val="24"/>
        </w:rPr>
        <w:t>evaluations</w:t>
      </w:r>
      <w:r>
        <w:rPr>
          <w:spacing w:val="-3"/>
          <w:sz w:val="24"/>
        </w:rPr>
        <w:t> </w:t>
      </w:r>
      <w:r>
        <w:rPr>
          <w:sz w:val="24"/>
        </w:rPr>
        <w:t>the</w:t>
      </w:r>
      <w:r>
        <w:rPr>
          <w:spacing w:val="-3"/>
          <w:sz w:val="24"/>
        </w:rPr>
        <w:t> </w:t>
      </w:r>
      <w:r>
        <w:rPr>
          <w:sz w:val="24"/>
        </w:rPr>
        <w:t>extent</w:t>
      </w:r>
      <w:r>
        <w:rPr>
          <w:spacing w:val="-3"/>
          <w:sz w:val="24"/>
        </w:rPr>
        <w:t> </w:t>
      </w:r>
      <w:r>
        <w:rPr>
          <w:sz w:val="24"/>
        </w:rPr>
        <w:t>to</w:t>
      </w:r>
      <w:r>
        <w:rPr>
          <w:spacing w:val="-3"/>
          <w:sz w:val="24"/>
        </w:rPr>
        <w:t> </w:t>
      </w:r>
      <w:r>
        <w:rPr>
          <w:sz w:val="24"/>
        </w:rPr>
        <w:t>which</w:t>
      </w:r>
      <w:r>
        <w:rPr>
          <w:spacing w:val="-3"/>
          <w:sz w:val="24"/>
        </w:rPr>
        <w:t> </w:t>
      </w:r>
      <w:r>
        <w:rPr>
          <w:sz w:val="24"/>
        </w:rPr>
        <w:t>service/product</w:t>
      </w:r>
      <w:r>
        <w:rPr>
          <w:spacing w:val="-2"/>
          <w:sz w:val="24"/>
        </w:rPr>
        <w:t> </w:t>
      </w:r>
      <w:r>
        <w:rPr>
          <w:sz w:val="24"/>
        </w:rPr>
        <w:t>modifications</w:t>
      </w:r>
      <w:r>
        <w:rPr>
          <w:spacing w:val="-3"/>
          <w:sz w:val="24"/>
        </w:rPr>
        <w:t> </w:t>
      </w:r>
      <w:r>
        <w:rPr>
          <w:sz w:val="24"/>
        </w:rPr>
        <w:t>and/or</w:t>
      </w:r>
      <w:r>
        <w:rPr>
          <w:spacing w:val="-3"/>
          <w:sz w:val="24"/>
        </w:rPr>
        <w:t> </w:t>
      </w:r>
      <w:r>
        <w:rPr>
          <w:sz w:val="24"/>
        </w:rPr>
        <w:t>agency</w:t>
      </w:r>
      <w:r>
        <w:rPr>
          <w:spacing w:val="-4"/>
          <w:sz w:val="24"/>
        </w:rPr>
        <w:t> </w:t>
      </w:r>
      <w:r>
        <w:rPr>
          <w:sz w:val="24"/>
        </w:rPr>
        <w:t>manual</w:t>
      </w:r>
      <w:r>
        <w:rPr>
          <w:spacing w:val="-3"/>
          <w:sz w:val="24"/>
        </w:rPr>
        <w:t> </w:t>
      </w:r>
      <w:r>
        <w:rPr>
          <w:sz w:val="24"/>
        </w:rPr>
        <w:t>processes</w:t>
      </w:r>
      <w:r>
        <w:rPr>
          <w:spacing w:val="-3"/>
          <w:sz w:val="24"/>
        </w:rPr>
        <w:t> </w:t>
      </w:r>
      <w:r>
        <w:rPr>
          <w:sz w:val="24"/>
        </w:rPr>
        <w:t>will</w:t>
      </w:r>
      <w:r>
        <w:rPr>
          <w:spacing w:val="-3"/>
          <w:sz w:val="24"/>
        </w:rPr>
        <w:t> </w:t>
      </w:r>
      <w:r>
        <w:rPr>
          <w:sz w:val="24"/>
        </w:rPr>
        <w:t>be</w:t>
      </w:r>
      <w:r>
        <w:rPr>
          <w:spacing w:val="-3"/>
          <w:sz w:val="24"/>
        </w:rPr>
        <w:t> </w:t>
      </w:r>
      <w:r>
        <w:rPr>
          <w:sz w:val="24"/>
        </w:rPr>
        <w:t>required</w:t>
      </w:r>
      <w:r>
        <w:rPr>
          <w:spacing w:val="-2"/>
          <w:sz w:val="24"/>
        </w:rPr>
        <w:t> </w:t>
      </w:r>
      <w:r>
        <w:rPr>
          <w:sz w:val="24"/>
        </w:rPr>
        <w:t>to</w:t>
      </w:r>
      <w:r>
        <w:rPr>
          <w:spacing w:val="-4"/>
          <w:sz w:val="24"/>
        </w:rPr>
        <w:t> </w:t>
      </w:r>
      <w:r>
        <w:rPr>
          <w:sz w:val="24"/>
        </w:rPr>
        <w:t>fully meet these requirements.</w:t>
      </w:r>
    </w:p>
    <w:p>
      <w:pPr>
        <w:pStyle w:val="ListParagraph"/>
        <w:numPr>
          <w:ilvl w:val="0"/>
          <w:numId w:val="1"/>
        </w:numPr>
        <w:tabs>
          <w:tab w:pos="839" w:val="left" w:leader="none"/>
          <w:tab w:pos="840" w:val="left" w:leader="none"/>
        </w:tabs>
        <w:spacing w:line="240" w:lineRule="auto" w:before="22" w:after="0"/>
        <w:ind w:left="840" w:right="0" w:hanging="361"/>
        <w:jc w:val="left"/>
        <w:rPr>
          <w:sz w:val="24"/>
        </w:rPr>
      </w:pPr>
      <w:r>
        <w:rPr>
          <w:sz w:val="24"/>
        </w:rPr>
        <w:t>During</w:t>
      </w:r>
      <w:r>
        <w:rPr>
          <w:spacing w:val="-8"/>
          <w:sz w:val="24"/>
        </w:rPr>
        <w:t> </w:t>
      </w:r>
      <w:r>
        <w:rPr>
          <w:sz w:val="24"/>
        </w:rPr>
        <w:t>the</w:t>
      </w:r>
      <w:r>
        <w:rPr>
          <w:spacing w:val="-6"/>
          <w:sz w:val="24"/>
        </w:rPr>
        <w:t> </w:t>
      </w:r>
      <w:r>
        <w:rPr>
          <w:sz w:val="24"/>
        </w:rPr>
        <w:t>service/technology</w:t>
      </w:r>
      <w:r>
        <w:rPr>
          <w:spacing w:val="-5"/>
          <w:sz w:val="24"/>
        </w:rPr>
        <w:t> </w:t>
      </w:r>
      <w:r>
        <w:rPr>
          <w:sz w:val="24"/>
        </w:rPr>
        <w:t>implementation</w:t>
      </w:r>
      <w:r>
        <w:rPr>
          <w:spacing w:val="-6"/>
          <w:sz w:val="24"/>
        </w:rPr>
        <w:t> </w:t>
      </w:r>
      <w:r>
        <w:rPr>
          <w:sz w:val="24"/>
        </w:rPr>
        <w:t>phase,</w:t>
      </w:r>
      <w:r>
        <w:rPr>
          <w:spacing w:val="-6"/>
          <w:sz w:val="24"/>
        </w:rPr>
        <w:t> </w:t>
      </w:r>
      <w:r>
        <w:rPr>
          <w:sz w:val="24"/>
        </w:rPr>
        <w:t>agencies</w:t>
      </w:r>
      <w:r>
        <w:rPr>
          <w:spacing w:val="-5"/>
          <w:sz w:val="24"/>
        </w:rPr>
        <w:t> </w:t>
      </w:r>
      <w:r>
        <w:rPr>
          <w:spacing w:val="-2"/>
          <w:sz w:val="24"/>
        </w:rPr>
        <w:t>should:</w:t>
      </w:r>
    </w:p>
    <w:p>
      <w:pPr>
        <w:pStyle w:val="ListParagraph"/>
        <w:numPr>
          <w:ilvl w:val="1"/>
          <w:numId w:val="1"/>
        </w:numPr>
        <w:tabs>
          <w:tab w:pos="1920" w:val="left" w:leader="none"/>
        </w:tabs>
        <w:spacing w:line="244" w:lineRule="auto" w:before="26" w:after="0"/>
        <w:ind w:left="1919" w:right="1009" w:hanging="360"/>
        <w:jc w:val="left"/>
        <w:rPr>
          <w:sz w:val="24"/>
        </w:rPr>
      </w:pPr>
      <w:r>
        <w:rPr>
          <w:sz w:val="24"/>
        </w:rPr>
        <w:t>Use</w:t>
      </w:r>
      <w:r>
        <w:rPr>
          <w:spacing w:val="-3"/>
          <w:sz w:val="24"/>
        </w:rPr>
        <w:t> </w:t>
      </w:r>
      <w:r>
        <w:rPr>
          <w:sz w:val="24"/>
        </w:rPr>
        <w:t>these</w:t>
      </w:r>
      <w:r>
        <w:rPr>
          <w:spacing w:val="-3"/>
          <w:sz w:val="24"/>
        </w:rPr>
        <w:t> </w:t>
      </w:r>
      <w:r>
        <w:rPr>
          <w:sz w:val="24"/>
        </w:rPr>
        <w:t>requirements</w:t>
      </w:r>
      <w:r>
        <w:rPr>
          <w:spacing w:val="-3"/>
          <w:sz w:val="24"/>
        </w:rPr>
        <w:t> </w:t>
      </w:r>
      <w:r>
        <w:rPr>
          <w:sz w:val="24"/>
        </w:rPr>
        <w:t>(including</w:t>
      </w:r>
      <w:r>
        <w:rPr>
          <w:spacing w:val="-2"/>
          <w:sz w:val="24"/>
        </w:rPr>
        <w:t> </w:t>
      </w:r>
      <w:r>
        <w:rPr>
          <w:sz w:val="24"/>
        </w:rPr>
        <w:t>the</w:t>
      </w:r>
      <w:r>
        <w:rPr>
          <w:spacing w:val="-3"/>
          <w:sz w:val="24"/>
        </w:rPr>
        <w:t> </w:t>
      </w:r>
      <w:r>
        <w:rPr>
          <w:sz w:val="24"/>
        </w:rPr>
        <w:t>authoritative</w:t>
      </w:r>
      <w:r>
        <w:rPr>
          <w:spacing w:val="-3"/>
          <w:sz w:val="24"/>
        </w:rPr>
        <w:t> </w:t>
      </w:r>
      <w:r>
        <w:rPr>
          <w:sz w:val="24"/>
        </w:rPr>
        <w:t>source</w:t>
      </w:r>
      <w:r>
        <w:rPr>
          <w:spacing w:val="-3"/>
          <w:sz w:val="24"/>
        </w:rPr>
        <w:t> </w:t>
      </w:r>
      <w:r>
        <w:rPr>
          <w:sz w:val="24"/>
        </w:rPr>
        <w:t>references)</w:t>
      </w:r>
      <w:r>
        <w:rPr>
          <w:spacing w:val="-2"/>
          <w:sz w:val="24"/>
        </w:rPr>
        <w:t> </w:t>
      </w:r>
      <w:r>
        <w:rPr>
          <w:sz w:val="24"/>
        </w:rPr>
        <w:t>when</w:t>
      </w:r>
      <w:r>
        <w:rPr>
          <w:spacing w:val="-3"/>
          <w:sz w:val="24"/>
        </w:rPr>
        <w:t> </w:t>
      </w:r>
      <w:r>
        <w:rPr>
          <w:sz w:val="24"/>
        </w:rPr>
        <w:t>developing</w:t>
      </w:r>
      <w:r>
        <w:rPr>
          <w:spacing w:val="-3"/>
          <w:sz w:val="24"/>
        </w:rPr>
        <w:t> </w:t>
      </w:r>
      <w:r>
        <w:rPr>
          <w:sz w:val="24"/>
        </w:rPr>
        <w:t>federal</w:t>
      </w:r>
      <w:r>
        <w:rPr>
          <w:spacing w:val="-3"/>
          <w:sz w:val="24"/>
        </w:rPr>
        <w:t> </w:t>
      </w:r>
      <w:r>
        <w:rPr>
          <w:sz w:val="24"/>
        </w:rPr>
        <w:t>government</w:t>
      </w:r>
      <w:r>
        <w:rPr>
          <w:spacing w:val="-3"/>
          <w:sz w:val="24"/>
        </w:rPr>
        <w:t> </w:t>
      </w:r>
      <w:r>
        <w:rPr>
          <w:sz w:val="24"/>
        </w:rPr>
        <w:t>system</w:t>
      </w:r>
      <w:r>
        <w:rPr>
          <w:spacing w:val="-3"/>
          <w:sz w:val="24"/>
        </w:rPr>
        <w:t> </w:t>
      </w:r>
      <w:r>
        <w:rPr>
          <w:sz w:val="24"/>
        </w:rPr>
        <w:t>acceptance</w:t>
      </w:r>
      <w:r>
        <w:rPr>
          <w:spacing w:val="-3"/>
          <w:sz w:val="24"/>
        </w:rPr>
        <w:t> </w:t>
      </w:r>
      <w:r>
        <w:rPr>
          <w:sz w:val="24"/>
        </w:rPr>
        <w:t>test</w:t>
      </w:r>
      <w:r>
        <w:rPr>
          <w:spacing w:val="-2"/>
          <w:sz w:val="24"/>
        </w:rPr>
        <w:t> </w:t>
      </w:r>
      <w:r>
        <w:rPr>
          <w:sz w:val="24"/>
        </w:rPr>
        <w:t>plans, scenarios, and scripts;</w:t>
      </w:r>
    </w:p>
    <w:p>
      <w:pPr>
        <w:pStyle w:val="ListParagraph"/>
        <w:numPr>
          <w:ilvl w:val="1"/>
          <w:numId w:val="1"/>
        </w:numPr>
        <w:tabs>
          <w:tab w:pos="1920" w:val="left" w:leader="none"/>
        </w:tabs>
        <w:spacing w:line="240" w:lineRule="auto" w:before="23" w:after="0"/>
        <w:ind w:left="1920" w:right="0" w:hanging="361"/>
        <w:jc w:val="left"/>
        <w:rPr>
          <w:sz w:val="24"/>
        </w:rPr>
      </w:pPr>
      <w:r>
        <w:rPr>
          <w:sz w:val="24"/>
        </w:rPr>
        <w:t>Use</w:t>
      </w:r>
      <w:r>
        <w:rPr>
          <w:spacing w:val="-6"/>
          <w:sz w:val="24"/>
        </w:rPr>
        <w:t> </w:t>
      </w:r>
      <w:r>
        <w:rPr>
          <w:sz w:val="24"/>
        </w:rPr>
        <w:t>these</w:t>
      </w:r>
      <w:r>
        <w:rPr>
          <w:spacing w:val="-3"/>
          <w:sz w:val="24"/>
        </w:rPr>
        <w:t> </w:t>
      </w:r>
      <w:r>
        <w:rPr>
          <w:sz w:val="24"/>
        </w:rPr>
        <w:t>requirements</w:t>
      </w:r>
      <w:r>
        <w:rPr>
          <w:spacing w:val="-4"/>
          <w:sz w:val="24"/>
        </w:rPr>
        <w:t> </w:t>
      </w:r>
      <w:r>
        <w:rPr>
          <w:sz w:val="24"/>
        </w:rPr>
        <w:t>to</w:t>
      </w:r>
      <w:r>
        <w:rPr>
          <w:spacing w:val="-3"/>
          <w:sz w:val="24"/>
        </w:rPr>
        <w:t> </w:t>
      </w:r>
      <w:r>
        <w:rPr>
          <w:sz w:val="24"/>
        </w:rPr>
        <w:t>drive</w:t>
      </w:r>
      <w:r>
        <w:rPr>
          <w:spacing w:val="-3"/>
          <w:sz w:val="24"/>
        </w:rPr>
        <w:t> </w:t>
      </w:r>
      <w:r>
        <w:rPr>
          <w:sz w:val="24"/>
        </w:rPr>
        <w:t>inter-</w:t>
      </w:r>
      <w:r>
        <w:rPr>
          <w:spacing w:val="-3"/>
          <w:sz w:val="24"/>
        </w:rPr>
        <w:t> </w:t>
      </w:r>
      <w:r>
        <w:rPr>
          <w:sz w:val="24"/>
        </w:rPr>
        <w:t>and</w:t>
      </w:r>
      <w:r>
        <w:rPr>
          <w:spacing w:val="-3"/>
          <w:sz w:val="24"/>
        </w:rPr>
        <w:t> </w:t>
      </w:r>
      <w:r>
        <w:rPr>
          <w:sz w:val="24"/>
        </w:rPr>
        <w:t>intra-agency</w:t>
      </w:r>
      <w:r>
        <w:rPr>
          <w:spacing w:val="-3"/>
          <w:sz w:val="24"/>
        </w:rPr>
        <w:t> </w:t>
      </w:r>
      <w:r>
        <w:rPr>
          <w:sz w:val="24"/>
        </w:rPr>
        <w:t>process</w:t>
      </w:r>
      <w:r>
        <w:rPr>
          <w:spacing w:val="-4"/>
          <w:sz w:val="24"/>
        </w:rPr>
        <w:t> </w:t>
      </w:r>
      <w:r>
        <w:rPr>
          <w:sz w:val="24"/>
        </w:rPr>
        <w:t>and</w:t>
      </w:r>
      <w:r>
        <w:rPr>
          <w:spacing w:val="-3"/>
          <w:sz w:val="24"/>
        </w:rPr>
        <w:t> </w:t>
      </w:r>
      <w:r>
        <w:rPr>
          <w:sz w:val="24"/>
        </w:rPr>
        <w:t>solution</w:t>
      </w:r>
      <w:r>
        <w:rPr>
          <w:spacing w:val="-3"/>
          <w:sz w:val="24"/>
        </w:rPr>
        <w:t> </w:t>
      </w:r>
      <w:r>
        <w:rPr>
          <w:spacing w:val="-2"/>
          <w:sz w:val="24"/>
        </w:rPr>
        <w:t>standardization;</w:t>
      </w:r>
    </w:p>
    <w:p>
      <w:pPr>
        <w:pStyle w:val="ListParagraph"/>
        <w:numPr>
          <w:ilvl w:val="1"/>
          <w:numId w:val="1"/>
        </w:numPr>
        <w:tabs>
          <w:tab w:pos="1920" w:val="left" w:leader="none"/>
        </w:tabs>
        <w:spacing w:line="240" w:lineRule="auto" w:before="7" w:after="0"/>
        <w:ind w:left="1920" w:right="0" w:hanging="360"/>
        <w:jc w:val="left"/>
        <w:rPr>
          <w:sz w:val="24"/>
        </w:rPr>
      </w:pPr>
      <w:r>
        <w:rPr>
          <w:sz w:val="24"/>
        </w:rPr>
        <w:t>Rationalize,</w:t>
      </w:r>
      <w:r>
        <w:rPr>
          <w:spacing w:val="-5"/>
          <w:sz w:val="24"/>
        </w:rPr>
        <w:t> </w:t>
      </w:r>
      <w:r>
        <w:rPr>
          <w:sz w:val="24"/>
        </w:rPr>
        <w:t>standardize,</w:t>
      </w:r>
      <w:r>
        <w:rPr>
          <w:spacing w:val="-4"/>
          <w:sz w:val="24"/>
        </w:rPr>
        <w:t> </w:t>
      </w:r>
      <w:r>
        <w:rPr>
          <w:sz w:val="24"/>
        </w:rPr>
        <w:t>and</w:t>
      </w:r>
      <w:r>
        <w:rPr>
          <w:spacing w:val="-3"/>
          <w:sz w:val="24"/>
        </w:rPr>
        <w:t> </w:t>
      </w:r>
      <w:r>
        <w:rPr>
          <w:sz w:val="24"/>
        </w:rPr>
        <w:t>reduce</w:t>
      </w:r>
      <w:r>
        <w:rPr>
          <w:spacing w:val="-4"/>
          <w:sz w:val="24"/>
        </w:rPr>
        <w:t> </w:t>
      </w:r>
      <w:r>
        <w:rPr>
          <w:sz w:val="24"/>
        </w:rPr>
        <w:t>the</w:t>
      </w:r>
      <w:r>
        <w:rPr>
          <w:spacing w:val="-3"/>
          <w:sz w:val="24"/>
        </w:rPr>
        <w:t> </w:t>
      </w:r>
      <w:r>
        <w:rPr>
          <w:sz w:val="24"/>
        </w:rPr>
        <w:t>number</w:t>
      </w:r>
      <w:r>
        <w:rPr>
          <w:spacing w:val="-4"/>
          <w:sz w:val="24"/>
        </w:rPr>
        <w:t> </w:t>
      </w:r>
      <w:r>
        <w:rPr>
          <w:sz w:val="24"/>
        </w:rPr>
        <w:t>of</w:t>
      </w:r>
      <w:r>
        <w:rPr>
          <w:spacing w:val="-3"/>
          <w:sz w:val="24"/>
        </w:rPr>
        <w:t> </w:t>
      </w:r>
      <w:r>
        <w:rPr>
          <w:sz w:val="24"/>
        </w:rPr>
        <w:t>system</w:t>
      </w:r>
      <w:r>
        <w:rPr>
          <w:spacing w:val="-4"/>
          <w:sz w:val="24"/>
        </w:rPr>
        <w:t> </w:t>
      </w:r>
      <w:r>
        <w:rPr>
          <w:sz w:val="24"/>
        </w:rPr>
        <w:t>interfaces</w:t>
      </w:r>
      <w:r>
        <w:rPr>
          <w:spacing w:val="-4"/>
          <w:sz w:val="24"/>
        </w:rPr>
        <w:t> </w:t>
      </w:r>
      <w:r>
        <w:rPr>
          <w:sz w:val="24"/>
        </w:rPr>
        <w:t>currently</w:t>
      </w:r>
      <w:r>
        <w:rPr>
          <w:spacing w:val="-3"/>
          <w:sz w:val="24"/>
        </w:rPr>
        <w:t> </w:t>
      </w:r>
      <w:r>
        <w:rPr>
          <w:sz w:val="24"/>
        </w:rPr>
        <w:t>active</w:t>
      </w:r>
      <w:r>
        <w:rPr>
          <w:spacing w:val="-4"/>
          <w:sz w:val="24"/>
        </w:rPr>
        <w:t> </w:t>
      </w:r>
      <w:r>
        <w:rPr>
          <w:sz w:val="24"/>
        </w:rPr>
        <w:t>in</w:t>
      </w:r>
      <w:r>
        <w:rPr>
          <w:spacing w:val="-3"/>
          <w:sz w:val="24"/>
        </w:rPr>
        <w:t> </w:t>
      </w:r>
      <w:r>
        <w:rPr>
          <w:sz w:val="24"/>
        </w:rPr>
        <w:t>the</w:t>
      </w:r>
      <w:r>
        <w:rPr>
          <w:spacing w:val="-4"/>
          <w:sz w:val="24"/>
        </w:rPr>
        <w:t> </w:t>
      </w:r>
      <w:r>
        <w:rPr>
          <w:sz w:val="24"/>
        </w:rPr>
        <w:t>realm</w:t>
      </w:r>
      <w:r>
        <w:rPr>
          <w:spacing w:val="-4"/>
          <w:sz w:val="24"/>
        </w:rPr>
        <w:t> </w:t>
      </w:r>
      <w:r>
        <w:rPr>
          <w:sz w:val="24"/>
        </w:rPr>
        <w:t>of</w:t>
      </w:r>
      <w:r>
        <w:rPr>
          <w:spacing w:val="-5"/>
          <w:sz w:val="24"/>
        </w:rPr>
        <w:t> </w:t>
      </w:r>
      <w:r>
        <w:rPr>
          <w:sz w:val="24"/>
        </w:rPr>
        <w:t>federal</w:t>
      </w:r>
      <w:r>
        <w:rPr>
          <w:spacing w:val="-3"/>
          <w:sz w:val="24"/>
        </w:rPr>
        <w:t> </w:t>
      </w:r>
      <w:r>
        <w:rPr>
          <w:sz w:val="24"/>
        </w:rPr>
        <w:t>financial</w:t>
      </w:r>
      <w:r>
        <w:rPr>
          <w:spacing w:val="-4"/>
          <w:sz w:val="24"/>
        </w:rPr>
        <w:t> </w:t>
      </w:r>
      <w:r>
        <w:rPr>
          <w:sz w:val="24"/>
        </w:rPr>
        <w:t>management</w:t>
      </w:r>
      <w:r>
        <w:rPr>
          <w:spacing w:val="-3"/>
          <w:sz w:val="24"/>
        </w:rPr>
        <w:t> </w:t>
      </w:r>
      <w:r>
        <w:rPr>
          <w:spacing w:val="-2"/>
          <w:sz w:val="24"/>
        </w:rPr>
        <w:t>systems;</w:t>
      </w:r>
    </w:p>
    <w:p>
      <w:pPr>
        <w:pStyle w:val="ListParagraph"/>
        <w:numPr>
          <w:ilvl w:val="1"/>
          <w:numId w:val="1"/>
        </w:numPr>
        <w:tabs>
          <w:tab w:pos="1920" w:val="left" w:leader="none"/>
        </w:tabs>
        <w:spacing w:line="244" w:lineRule="auto" w:before="6" w:after="0"/>
        <w:ind w:left="1920" w:right="1330" w:hanging="360"/>
        <w:jc w:val="left"/>
        <w:rPr>
          <w:sz w:val="24"/>
        </w:rPr>
      </w:pPr>
      <w:r>
        <w:rPr>
          <w:sz w:val="24"/>
        </w:rPr>
        <w:t>Evaluate</w:t>
      </w:r>
      <w:r>
        <w:rPr>
          <w:spacing w:val="-3"/>
          <w:sz w:val="24"/>
        </w:rPr>
        <w:t> </w:t>
      </w:r>
      <w:r>
        <w:rPr>
          <w:sz w:val="24"/>
        </w:rPr>
        <w:t>system</w:t>
      </w:r>
      <w:r>
        <w:rPr>
          <w:spacing w:val="-3"/>
          <w:sz w:val="24"/>
        </w:rPr>
        <w:t> </w:t>
      </w:r>
      <w:r>
        <w:rPr>
          <w:sz w:val="24"/>
        </w:rPr>
        <w:t>acceptability</w:t>
      </w:r>
      <w:r>
        <w:rPr>
          <w:spacing w:val="-3"/>
          <w:sz w:val="24"/>
        </w:rPr>
        <w:t> </w:t>
      </w:r>
      <w:r>
        <w:rPr>
          <w:sz w:val="24"/>
        </w:rPr>
        <w:t>based</w:t>
      </w:r>
      <w:r>
        <w:rPr>
          <w:spacing w:val="-3"/>
          <w:sz w:val="24"/>
        </w:rPr>
        <w:t> </w:t>
      </w:r>
      <w:r>
        <w:rPr>
          <w:sz w:val="24"/>
        </w:rPr>
        <w:t>on</w:t>
      </w:r>
      <w:r>
        <w:rPr>
          <w:spacing w:val="-3"/>
          <w:sz w:val="24"/>
        </w:rPr>
        <w:t> </w:t>
      </w:r>
      <w:r>
        <w:rPr>
          <w:sz w:val="24"/>
        </w:rPr>
        <w:t>the</w:t>
      </w:r>
      <w:r>
        <w:rPr>
          <w:spacing w:val="-3"/>
          <w:sz w:val="24"/>
        </w:rPr>
        <w:t> </w:t>
      </w:r>
      <w:r>
        <w:rPr>
          <w:sz w:val="24"/>
        </w:rPr>
        <w:t>combined</w:t>
      </w:r>
      <w:r>
        <w:rPr>
          <w:spacing w:val="-2"/>
          <w:sz w:val="24"/>
        </w:rPr>
        <w:t> </w:t>
      </w:r>
      <w:r>
        <w:rPr>
          <w:sz w:val="24"/>
        </w:rPr>
        <w:t>ability</w:t>
      </w:r>
      <w:r>
        <w:rPr>
          <w:spacing w:val="-3"/>
          <w:sz w:val="24"/>
        </w:rPr>
        <w:t> </w:t>
      </w:r>
      <w:r>
        <w:rPr>
          <w:sz w:val="24"/>
        </w:rPr>
        <w:t>of</w:t>
      </w:r>
      <w:r>
        <w:rPr>
          <w:spacing w:val="-3"/>
          <w:sz w:val="24"/>
        </w:rPr>
        <w:t> </w:t>
      </w:r>
      <w:r>
        <w:rPr>
          <w:sz w:val="24"/>
        </w:rPr>
        <w:t>the</w:t>
      </w:r>
      <w:r>
        <w:rPr>
          <w:spacing w:val="-3"/>
          <w:sz w:val="24"/>
        </w:rPr>
        <w:t> </w:t>
      </w:r>
      <w:r>
        <w:rPr>
          <w:sz w:val="24"/>
        </w:rPr>
        <w:t>service/technology</w:t>
      </w:r>
      <w:r>
        <w:rPr>
          <w:spacing w:val="-3"/>
          <w:sz w:val="24"/>
        </w:rPr>
        <w:t> </w:t>
      </w:r>
      <w:r>
        <w:rPr>
          <w:sz w:val="24"/>
        </w:rPr>
        <w:t>and</w:t>
      </w:r>
      <w:r>
        <w:rPr>
          <w:spacing w:val="-3"/>
          <w:sz w:val="24"/>
        </w:rPr>
        <w:t> </w:t>
      </w:r>
      <w:r>
        <w:rPr>
          <w:sz w:val="24"/>
        </w:rPr>
        <w:t>agency</w:t>
      </w:r>
      <w:r>
        <w:rPr>
          <w:spacing w:val="-3"/>
          <w:sz w:val="24"/>
        </w:rPr>
        <w:t> </w:t>
      </w:r>
      <w:r>
        <w:rPr>
          <w:sz w:val="24"/>
        </w:rPr>
        <w:t>manual</w:t>
      </w:r>
      <w:r>
        <w:rPr>
          <w:spacing w:val="-3"/>
          <w:sz w:val="24"/>
        </w:rPr>
        <w:t> </w:t>
      </w:r>
      <w:r>
        <w:rPr>
          <w:sz w:val="24"/>
        </w:rPr>
        <w:t>processes</w:t>
      </w:r>
      <w:r>
        <w:rPr>
          <w:spacing w:val="-3"/>
          <w:sz w:val="24"/>
        </w:rPr>
        <w:t> </w:t>
      </w:r>
      <w:r>
        <w:rPr>
          <w:sz w:val="24"/>
        </w:rPr>
        <w:t>to</w:t>
      </w:r>
      <w:r>
        <w:rPr>
          <w:spacing w:val="-3"/>
          <w:sz w:val="24"/>
        </w:rPr>
        <w:t> </w:t>
      </w:r>
      <w:r>
        <w:rPr>
          <w:sz w:val="24"/>
        </w:rPr>
        <w:t>fully</w:t>
      </w:r>
      <w:r>
        <w:rPr>
          <w:spacing w:val="-3"/>
          <w:sz w:val="24"/>
        </w:rPr>
        <w:t> </w:t>
      </w:r>
      <w:r>
        <w:rPr>
          <w:sz w:val="24"/>
        </w:rPr>
        <w:t>meet</w:t>
      </w:r>
      <w:r>
        <w:rPr>
          <w:spacing w:val="-3"/>
          <w:sz w:val="24"/>
        </w:rPr>
        <w:t> </w:t>
      </w:r>
      <w:r>
        <w:rPr>
          <w:sz w:val="24"/>
        </w:rPr>
        <w:t>these requirements; and</w:t>
      </w:r>
    </w:p>
    <w:p>
      <w:pPr>
        <w:spacing w:after="0" w:line="244" w:lineRule="auto"/>
        <w:jc w:val="left"/>
        <w:rPr>
          <w:sz w:val="24"/>
        </w:rPr>
        <w:sectPr>
          <w:pgSz w:w="20160" w:h="12240" w:orient="landscape"/>
          <w:pgMar w:header="288" w:footer="728" w:top="1380" w:bottom="940" w:left="1320" w:right="1140"/>
        </w:sectPr>
      </w:pPr>
    </w:p>
    <w:p>
      <w:pPr>
        <w:pStyle w:val="ListParagraph"/>
        <w:numPr>
          <w:ilvl w:val="1"/>
          <w:numId w:val="1"/>
        </w:numPr>
        <w:tabs>
          <w:tab w:pos="1920" w:val="left" w:leader="none"/>
        </w:tabs>
        <w:spacing w:line="244" w:lineRule="auto" w:before="0" w:after="0"/>
        <w:ind w:left="1920" w:right="1410" w:hanging="360"/>
        <w:jc w:val="left"/>
        <w:rPr>
          <w:sz w:val="24"/>
        </w:rPr>
      </w:pPr>
      <w:r>
        <w:rPr>
          <w:sz w:val="24"/>
        </w:rPr>
        <w:t>Post</w:t>
      </w:r>
      <w:r>
        <w:rPr>
          <w:spacing w:val="-2"/>
          <w:sz w:val="24"/>
        </w:rPr>
        <w:t> </w:t>
      </w:r>
      <w:r>
        <w:rPr>
          <w:sz w:val="24"/>
        </w:rPr>
        <w:t>deployment,</w:t>
      </w:r>
      <w:r>
        <w:rPr>
          <w:spacing w:val="-2"/>
          <w:sz w:val="24"/>
        </w:rPr>
        <w:t> </w:t>
      </w:r>
      <w:r>
        <w:rPr>
          <w:sz w:val="24"/>
        </w:rPr>
        <w:t>evaluate</w:t>
      </w:r>
      <w:r>
        <w:rPr>
          <w:spacing w:val="-3"/>
          <w:sz w:val="24"/>
        </w:rPr>
        <w:t> </w:t>
      </w:r>
      <w:r>
        <w:rPr>
          <w:sz w:val="24"/>
        </w:rPr>
        <w:t>the</w:t>
      </w:r>
      <w:r>
        <w:rPr>
          <w:spacing w:val="-3"/>
          <w:sz w:val="24"/>
        </w:rPr>
        <w:t> </w:t>
      </w:r>
      <w:r>
        <w:rPr>
          <w:sz w:val="24"/>
        </w:rPr>
        <w:t>combined</w:t>
      </w:r>
      <w:r>
        <w:rPr>
          <w:spacing w:val="-3"/>
          <w:sz w:val="24"/>
        </w:rPr>
        <w:t> </w:t>
      </w:r>
      <w:r>
        <w:rPr>
          <w:sz w:val="24"/>
        </w:rPr>
        <w:t>ability</w:t>
      </w:r>
      <w:r>
        <w:rPr>
          <w:spacing w:val="-3"/>
          <w:sz w:val="24"/>
        </w:rPr>
        <w:t> </w:t>
      </w:r>
      <w:r>
        <w:rPr>
          <w:sz w:val="24"/>
        </w:rPr>
        <w:t>of</w:t>
      </w:r>
      <w:r>
        <w:rPr>
          <w:spacing w:val="-4"/>
          <w:sz w:val="24"/>
        </w:rPr>
        <w:t> </w:t>
      </w:r>
      <w:r>
        <w:rPr>
          <w:sz w:val="24"/>
        </w:rPr>
        <w:t>the</w:t>
      </w:r>
      <w:r>
        <w:rPr>
          <w:spacing w:val="-3"/>
          <w:sz w:val="24"/>
        </w:rPr>
        <w:t> </w:t>
      </w:r>
      <w:r>
        <w:rPr>
          <w:sz w:val="24"/>
        </w:rPr>
        <w:t>service/technology</w:t>
      </w:r>
      <w:r>
        <w:rPr>
          <w:spacing w:val="-3"/>
          <w:sz w:val="24"/>
        </w:rPr>
        <w:t> </w:t>
      </w:r>
      <w:r>
        <w:rPr>
          <w:sz w:val="24"/>
        </w:rPr>
        <w:t>and</w:t>
      </w:r>
      <w:r>
        <w:rPr>
          <w:spacing w:val="-2"/>
          <w:sz w:val="24"/>
        </w:rPr>
        <w:t> </w:t>
      </w:r>
      <w:r>
        <w:rPr>
          <w:sz w:val="24"/>
        </w:rPr>
        <w:t>agency</w:t>
      </w:r>
      <w:r>
        <w:rPr>
          <w:spacing w:val="-3"/>
          <w:sz w:val="24"/>
        </w:rPr>
        <w:t> </w:t>
      </w:r>
      <w:r>
        <w:rPr>
          <w:sz w:val="24"/>
        </w:rPr>
        <w:t>manual</w:t>
      </w:r>
      <w:r>
        <w:rPr>
          <w:spacing w:val="-3"/>
          <w:sz w:val="24"/>
        </w:rPr>
        <w:t> </w:t>
      </w:r>
      <w:r>
        <w:rPr>
          <w:sz w:val="24"/>
        </w:rPr>
        <w:t>processes</w:t>
      </w:r>
      <w:r>
        <w:rPr>
          <w:spacing w:val="-3"/>
          <w:sz w:val="24"/>
        </w:rPr>
        <w:t> </w:t>
      </w:r>
      <w:r>
        <w:rPr>
          <w:sz w:val="24"/>
        </w:rPr>
        <w:t>to</w:t>
      </w:r>
      <w:r>
        <w:rPr>
          <w:spacing w:val="-3"/>
          <w:sz w:val="24"/>
        </w:rPr>
        <w:t> </w:t>
      </w:r>
      <w:r>
        <w:rPr>
          <w:sz w:val="24"/>
        </w:rPr>
        <w:t>achieve</w:t>
      </w:r>
      <w:r>
        <w:rPr>
          <w:spacing w:val="-3"/>
          <w:sz w:val="24"/>
        </w:rPr>
        <w:t> </w:t>
      </w:r>
      <w:r>
        <w:rPr>
          <w:sz w:val="24"/>
        </w:rPr>
        <w:t>the</w:t>
      </w:r>
      <w:r>
        <w:rPr>
          <w:spacing w:val="-3"/>
          <w:sz w:val="24"/>
        </w:rPr>
        <w:t> </w:t>
      </w:r>
      <w:r>
        <w:rPr>
          <w:sz w:val="24"/>
        </w:rPr>
        <w:t>federal</w:t>
      </w:r>
      <w:r>
        <w:rPr>
          <w:spacing w:val="-3"/>
          <w:sz w:val="24"/>
        </w:rPr>
        <w:t> </w:t>
      </w:r>
      <w:r>
        <w:rPr>
          <w:sz w:val="24"/>
        </w:rPr>
        <w:t>financial management goals associated with these requirements.</w:t>
      </w:r>
    </w:p>
    <w:p>
      <w:pPr>
        <w:pStyle w:val="ListParagraph"/>
        <w:numPr>
          <w:ilvl w:val="0"/>
          <w:numId w:val="1"/>
        </w:numPr>
        <w:tabs>
          <w:tab w:pos="839" w:val="left" w:leader="none"/>
          <w:tab w:pos="840" w:val="left" w:leader="none"/>
        </w:tabs>
        <w:spacing w:line="240" w:lineRule="auto" w:before="22" w:after="0"/>
        <w:ind w:left="840" w:right="0" w:hanging="360"/>
        <w:jc w:val="left"/>
        <w:rPr>
          <w:sz w:val="24"/>
        </w:rPr>
      </w:pPr>
      <w:r>
        <w:rPr>
          <w:sz w:val="24"/>
        </w:rPr>
        <w:t>After</w:t>
      </w:r>
      <w:r>
        <w:rPr>
          <w:spacing w:val="-9"/>
          <w:sz w:val="24"/>
        </w:rPr>
        <w:t> </w:t>
      </w:r>
      <w:r>
        <w:rPr>
          <w:sz w:val="24"/>
        </w:rPr>
        <w:t>the</w:t>
      </w:r>
      <w:r>
        <w:rPr>
          <w:spacing w:val="-6"/>
          <w:sz w:val="24"/>
        </w:rPr>
        <w:t> </w:t>
      </w:r>
      <w:r>
        <w:rPr>
          <w:sz w:val="24"/>
        </w:rPr>
        <w:t>service/technology</w:t>
      </w:r>
      <w:r>
        <w:rPr>
          <w:spacing w:val="-5"/>
          <w:sz w:val="24"/>
        </w:rPr>
        <w:t> </w:t>
      </w:r>
      <w:r>
        <w:rPr>
          <w:sz w:val="24"/>
        </w:rPr>
        <w:t>implementation,</w:t>
      </w:r>
      <w:r>
        <w:rPr>
          <w:spacing w:val="-7"/>
          <w:sz w:val="24"/>
        </w:rPr>
        <w:t> </w:t>
      </w:r>
      <w:r>
        <w:rPr>
          <w:sz w:val="24"/>
        </w:rPr>
        <w:t>agencies</w:t>
      </w:r>
      <w:r>
        <w:rPr>
          <w:spacing w:val="-5"/>
          <w:sz w:val="24"/>
        </w:rPr>
        <w:t> </w:t>
      </w:r>
      <w:r>
        <w:rPr>
          <w:spacing w:val="-2"/>
          <w:sz w:val="24"/>
        </w:rPr>
        <w:t>should:</w:t>
      </w:r>
    </w:p>
    <w:p>
      <w:pPr>
        <w:pStyle w:val="ListParagraph"/>
        <w:numPr>
          <w:ilvl w:val="1"/>
          <w:numId w:val="1"/>
        </w:numPr>
        <w:tabs>
          <w:tab w:pos="1920" w:val="left" w:leader="none"/>
        </w:tabs>
        <w:spacing w:line="244" w:lineRule="auto" w:before="26" w:after="0"/>
        <w:ind w:left="1920" w:right="997" w:hanging="360"/>
        <w:jc w:val="left"/>
        <w:rPr>
          <w:sz w:val="24"/>
        </w:rPr>
      </w:pPr>
      <w:r>
        <w:rPr>
          <w:sz w:val="24"/>
        </w:rPr>
        <w:t>Use</w:t>
      </w:r>
      <w:r>
        <w:rPr>
          <w:spacing w:val="-3"/>
          <w:sz w:val="24"/>
        </w:rPr>
        <w:t> </w:t>
      </w:r>
      <w:r>
        <w:rPr>
          <w:sz w:val="24"/>
        </w:rPr>
        <w:t>the</w:t>
      </w:r>
      <w:r>
        <w:rPr>
          <w:spacing w:val="-3"/>
          <w:sz w:val="24"/>
        </w:rPr>
        <w:t> </w:t>
      </w:r>
      <w:r>
        <w:rPr>
          <w:sz w:val="24"/>
        </w:rPr>
        <w:t>federal</w:t>
      </w:r>
      <w:r>
        <w:rPr>
          <w:spacing w:val="-3"/>
          <w:sz w:val="24"/>
        </w:rPr>
        <w:t> </w:t>
      </w:r>
      <w:r>
        <w:rPr>
          <w:sz w:val="24"/>
        </w:rPr>
        <w:t>financial</w:t>
      </w:r>
      <w:r>
        <w:rPr>
          <w:spacing w:val="-3"/>
          <w:sz w:val="24"/>
        </w:rPr>
        <w:t> </w:t>
      </w:r>
      <w:r>
        <w:rPr>
          <w:sz w:val="24"/>
        </w:rPr>
        <w:t>management</w:t>
      </w:r>
      <w:r>
        <w:rPr>
          <w:spacing w:val="-3"/>
          <w:sz w:val="24"/>
        </w:rPr>
        <w:t> </w:t>
      </w:r>
      <w:r>
        <w:rPr>
          <w:sz w:val="24"/>
        </w:rPr>
        <w:t>goals</w:t>
      </w:r>
      <w:r>
        <w:rPr>
          <w:spacing w:val="-3"/>
          <w:sz w:val="24"/>
        </w:rPr>
        <w:t> </w:t>
      </w:r>
      <w:r>
        <w:rPr>
          <w:sz w:val="24"/>
        </w:rPr>
        <w:t>associated</w:t>
      </w:r>
      <w:r>
        <w:rPr>
          <w:spacing w:val="-2"/>
          <w:sz w:val="24"/>
        </w:rPr>
        <w:t> </w:t>
      </w:r>
      <w:r>
        <w:rPr>
          <w:sz w:val="24"/>
        </w:rPr>
        <w:t>with</w:t>
      </w:r>
      <w:r>
        <w:rPr>
          <w:spacing w:val="-3"/>
          <w:sz w:val="24"/>
        </w:rPr>
        <w:t> </w:t>
      </w:r>
      <w:r>
        <w:rPr>
          <w:sz w:val="24"/>
        </w:rPr>
        <w:t>these</w:t>
      </w:r>
      <w:r>
        <w:rPr>
          <w:spacing w:val="-3"/>
          <w:sz w:val="24"/>
        </w:rPr>
        <w:t> </w:t>
      </w:r>
      <w:r>
        <w:rPr>
          <w:sz w:val="24"/>
        </w:rPr>
        <w:t>requirements</w:t>
      </w:r>
      <w:r>
        <w:rPr>
          <w:spacing w:val="-3"/>
          <w:sz w:val="24"/>
        </w:rPr>
        <w:t> </w:t>
      </w:r>
      <w:r>
        <w:rPr>
          <w:sz w:val="24"/>
        </w:rPr>
        <w:t>to</w:t>
      </w:r>
      <w:r>
        <w:rPr>
          <w:spacing w:val="-4"/>
          <w:sz w:val="24"/>
        </w:rPr>
        <w:t> </w:t>
      </w:r>
      <w:r>
        <w:rPr>
          <w:sz w:val="24"/>
        </w:rPr>
        <w:t>periodically</w:t>
      </w:r>
      <w:r>
        <w:rPr>
          <w:spacing w:val="-3"/>
          <w:sz w:val="24"/>
        </w:rPr>
        <w:t> </w:t>
      </w:r>
      <w:r>
        <w:rPr>
          <w:sz w:val="24"/>
        </w:rPr>
        <w:t>evaluate</w:t>
      </w:r>
      <w:r>
        <w:rPr>
          <w:spacing w:val="-3"/>
          <w:sz w:val="24"/>
        </w:rPr>
        <w:t> </w:t>
      </w:r>
      <w:r>
        <w:rPr>
          <w:sz w:val="24"/>
        </w:rPr>
        <w:t>the</w:t>
      </w:r>
      <w:r>
        <w:rPr>
          <w:spacing w:val="-3"/>
          <w:sz w:val="24"/>
        </w:rPr>
        <w:t> </w:t>
      </w:r>
      <w:r>
        <w:rPr>
          <w:sz w:val="24"/>
        </w:rPr>
        <w:t>Financial</w:t>
      </w:r>
      <w:r>
        <w:rPr>
          <w:spacing w:val="-3"/>
          <w:sz w:val="24"/>
        </w:rPr>
        <w:t> </w:t>
      </w:r>
      <w:r>
        <w:rPr>
          <w:sz w:val="24"/>
        </w:rPr>
        <w:t>Management</w:t>
      </w:r>
      <w:r>
        <w:rPr>
          <w:spacing w:val="-3"/>
          <w:sz w:val="24"/>
        </w:rPr>
        <w:t> </w:t>
      </w:r>
      <w:r>
        <w:rPr>
          <w:sz w:val="24"/>
        </w:rPr>
        <w:t>System solution (both service/technology and manual processes); and</w:t>
      </w:r>
    </w:p>
    <w:p>
      <w:pPr>
        <w:pStyle w:val="ListParagraph"/>
        <w:numPr>
          <w:ilvl w:val="1"/>
          <w:numId w:val="1"/>
        </w:numPr>
        <w:tabs>
          <w:tab w:pos="1920" w:val="left" w:leader="none"/>
        </w:tabs>
        <w:spacing w:line="244" w:lineRule="auto" w:before="23" w:after="0"/>
        <w:ind w:left="1920" w:right="2584" w:hanging="360"/>
        <w:jc w:val="left"/>
        <w:rPr>
          <w:sz w:val="24"/>
        </w:rPr>
      </w:pPr>
      <w:r>
        <w:rPr>
          <w:sz w:val="24"/>
        </w:rPr>
        <w:t>If</w:t>
      </w:r>
      <w:r>
        <w:rPr>
          <w:spacing w:val="-1"/>
          <w:sz w:val="24"/>
        </w:rPr>
        <w:t> </w:t>
      </w:r>
      <w:r>
        <w:rPr>
          <w:sz w:val="24"/>
        </w:rPr>
        <w:t>gaps/deficiencies</w:t>
      </w:r>
      <w:r>
        <w:rPr>
          <w:spacing w:val="-2"/>
          <w:sz w:val="24"/>
        </w:rPr>
        <w:t> </w:t>
      </w:r>
      <w:r>
        <w:rPr>
          <w:sz w:val="24"/>
        </w:rPr>
        <w:t>are</w:t>
      </w:r>
      <w:r>
        <w:rPr>
          <w:spacing w:val="-2"/>
          <w:sz w:val="24"/>
        </w:rPr>
        <w:t> </w:t>
      </w:r>
      <w:r>
        <w:rPr>
          <w:sz w:val="24"/>
        </w:rPr>
        <w:t>found</w:t>
      </w:r>
      <w:r>
        <w:rPr>
          <w:spacing w:val="-2"/>
          <w:sz w:val="24"/>
        </w:rPr>
        <w:t> </w:t>
      </w:r>
      <w:r>
        <w:rPr>
          <w:sz w:val="24"/>
        </w:rPr>
        <w:t>in</w:t>
      </w:r>
      <w:r>
        <w:rPr>
          <w:spacing w:val="-2"/>
          <w:sz w:val="24"/>
        </w:rPr>
        <w:t> </w:t>
      </w:r>
      <w:r>
        <w:rPr>
          <w:sz w:val="24"/>
        </w:rPr>
        <w:t>meeting</w:t>
      </w:r>
      <w:r>
        <w:rPr>
          <w:spacing w:val="-2"/>
          <w:sz w:val="24"/>
        </w:rPr>
        <w:t> </w:t>
      </w:r>
      <w:r>
        <w:rPr>
          <w:sz w:val="24"/>
        </w:rPr>
        <w:t>the</w:t>
      </w:r>
      <w:r>
        <w:rPr>
          <w:spacing w:val="-2"/>
          <w:sz w:val="24"/>
        </w:rPr>
        <w:t> </w:t>
      </w:r>
      <w:r>
        <w:rPr>
          <w:sz w:val="24"/>
        </w:rPr>
        <w:t>goals,</w:t>
      </w:r>
      <w:r>
        <w:rPr>
          <w:spacing w:val="-1"/>
          <w:sz w:val="24"/>
        </w:rPr>
        <w:t> </w:t>
      </w:r>
      <w:r>
        <w:rPr>
          <w:sz w:val="24"/>
        </w:rPr>
        <w:t>use</w:t>
      </w:r>
      <w:r>
        <w:rPr>
          <w:spacing w:val="-2"/>
          <w:sz w:val="24"/>
        </w:rPr>
        <w:t> </w:t>
      </w:r>
      <w:r>
        <w:rPr>
          <w:sz w:val="24"/>
        </w:rPr>
        <w:t>these</w:t>
      </w:r>
      <w:r>
        <w:rPr>
          <w:spacing w:val="-2"/>
          <w:sz w:val="24"/>
        </w:rPr>
        <w:t> </w:t>
      </w:r>
      <w:r>
        <w:rPr>
          <w:sz w:val="24"/>
        </w:rPr>
        <w:t>requirements</w:t>
      </w:r>
      <w:r>
        <w:rPr>
          <w:spacing w:val="-2"/>
          <w:sz w:val="24"/>
        </w:rPr>
        <w:t> </w:t>
      </w:r>
      <w:r>
        <w:rPr>
          <w:sz w:val="24"/>
        </w:rPr>
        <w:t>to</w:t>
      </w:r>
      <w:r>
        <w:rPr>
          <w:spacing w:val="-2"/>
          <w:sz w:val="24"/>
        </w:rPr>
        <w:t> </w:t>
      </w:r>
      <w:r>
        <w:rPr>
          <w:sz w:val="24"/>
        </w:rPr>
        <w:t>identify</w:t>
      </w:r>
      <w:r>
        <w:rPr>
          <w:spacing w:val="-2"/>
          <w:sz w:val="24"/>
        </w:rPr>
        <w:t> </w:t>
      </w:r>
      <w:r>
        <w:rPr>
          <w:sz w:val="24"/>
        </w:rPr>
        <w:t>where</w:t>
      </w:r>
      <w:r>
        <w:rPr>
          <w:spacing w:val="-2"/>
          <w:sz w:val="24"/>
        </w:rPr>
        <w:t> </w:t>
      </w:r>
      <w:r>
        <w:rPr>
          <w:sz w:val="24"/>
        </w:rPr>
        <w:t>gaps/deficiencies</w:t>
      </w:r>
      <w:r>
        <w:rPr>
          <w:spacing w:val="-2"/>
          <w:sz w:val="24"/>
        </w:rPr>
        <w:t> </w:t>
      </w:r>
      <w:r>
        <w:rPr>
          <w:sz w:val="24"/>
        </w:rPr>
        <w:t>in</w:t>
      </w:r>
      <w:r>
        <w:rPr>
          <w:spacing w:val="-2"/>
          <w:sz w:val="24"/>
        </w:rPr>
        <w:t> </w:t>
      </w:r>
      <w:r>
        <w:rPr>
          <w:sz w:val="24"/>
        </w:rPr>
        <w:t>the</w:t>
      </w:r>
      <w:r>
        <w:rPr>
          <w:spacing w:val="-2"/>
          <w:sz w:val="24"/>
        </w:rPr>
        <w:t> </w:t>
      </w:r>
      <w:r>
        <w:rPr>
          <w:sz w:val="24"/>
        </w:rPr>
        <w:t>system (service/technology/manual</w:t>
      </w:r>
      <w:r>
        <w:rPr>
          <w:spacing w:val="-4"/>
          <w:sz w:val="24"/>
        </w:rPr>
        <w:t> </w:t>
      </w:r>
      <w:r>
        <w:rPr>
          <w:sz w:val="24"/>
        </w:rPr>
        <w:t>processes)</w:t>
      </w:r>
      <w:r>
        <w:rPr>
          <w:spacing w:val="-3"/>
          <w:sz w:val="24"/>
        </w:rPr>
        <w:t> </w:t>
      </w:r>
      <w:r>
        <w:rPr>
          <w:sz w:val="24"/>
        </w:rPr>
        <w:t>may</w:t>
      </w:r>
      <w:r>
        <w:rPr>
          <w:spacing w:val="-5"/>
          <w:sz w:val="24"/>
        </w:rPr>
        <w:t> </w:t>
      </w:r>
      <w:r>
        <w:rPr>
          <w:sz w:val="24"/>
        </w:rPr>
        <w:t>need</w:t>
      </w:r>
      <w:r>
        <w:rPr>
          <w:spacing w:val="-4"/>
          <w:sz w:val="24"/>
        </w:rPr>
        <w:t> </w:t>
      </w:r>
      <w:r>
        <w:rPr>
          <w:sz w:val="24"/>
        </w:rPr>
        <w:t>to</w:t>
      </w:r>
      <w:r>
        <w:rPr>
          <w:spacing w:val="-4"/>
          <w:sz w:val="24"/>
        </w:rPr>
        <w:t> </w:t>
      </w:r>
      <w:r>
        <w:rPr>
          <w:sz w:val="24"/>
        </w:rPr>
        <w:t>be</w:t>
      </w:r>
      <w:r>
        <w:rPr>
          <w:spacing w:val="-4"/>
          <w:sz w:val="24"/>
        </w:rPr>
        <w:t> </w:t>
      </w:r>
      <w:r>
        <w:rPr>
          <w:sz w:val="24"/>
        </w:rPr>
        <w:t>addressed</w:t>
      </w:r>
      <w:r>
        <w:rPr>
          <w:spacing w:val="-3"/>
          <w:sz w:val="24"/>
        </w:rPr>
        <w:t> </w:t>
      </w:r>
      <w:r>
        <w:rPr>
          <w:sz w:val="24"/>
        </w:rPr>
        <w:t>through</w:t>
      </w:r>
      <w:r>
        <w:rPr>
          <w:spacing w:val="-4"/>
          <w:sz w:val="24"/>
        </w:rPr>
        <w:t> </w:t>
      </w:r>
      <w:r>
        <w:rPr>
          <w:sz w:val="24"/>
        </w:rPr>
        <w:t>further</w:t>
      </w:r>
      <w:r>
        <w:rPr>
          <w:spacing w:val="-4"/>
          <w:sz w:val="24"/>
        </w:rPr>
        <w:t> </w:t>
      </w:r>
      <w:r>
        <w:rPr>
          <w:sz w:val="24"/>
        </w:rPr>
        <w:t>acquisition</w:t>
      </w:r>
      <w:r>
        <w:rPr>
          <w:spacing w:val="-4"/>
          <w:sz w:val="24"/>
        </w:rPr>
        <w:t> </w:t>
      </w:r>
      <w:r>
        <w:rPr>
          <w:sz w:val="24"/>
        </w:rPr>
        <w:t>and/or</w:t>
      </w:r>
      <w:r>
        <w:rPr>
          <w:spacing w:val="-4"/>
          <w:sz w:val="24"/>
        </w:rPr>
        <w:t> </w:t>
      </w:r>
      <w:r>
        <w:rPr>
          <w:sz w:val="24"/>
        </w:rPr>
        <w:t>system</w:t>
      </w:r>
      <w:r>
        <w:rPr>
          <w:spacing w:val="-4"/>
          <w:sz w:val="24"/>
        </w:rPr>
        <w:t> </w:t>
      </w:r>
      <w:r>
        <w:rPr>
          <w:sz w:val="24"/>
        </w:rPr>
        <w:t>enhancements.</w:t>
      </w:r>
    </w:p>
    <w:p>
      <w:pPr>
        <w:spacing w:after="0" w:line="244" w:lineRule="auto"/>
        <w:jc w:val="left"/>
        <w:rPr>
          <w:sz w:val="24"/>
        </w:rPr>
        <w:sectPr>
          <w:pgSz w:w="20160" w:h="12240" w:orient="landscape"/>
          <w:pgMar w:header="288" w:footer="728" w:top="1380" w:bottom="940" w:left="1320" w:right="1140"/>
        </w:sectPr>
      </w:pPr>
    </w:p>
    <w:p>
      <w:pPr>
        <w:pStyle w:val="Heading1"/>
      </w:pPr>
      <w:bookmarkStart w:name="Relationships Among Requirements" w:id="11"/>
      <w:bookmarkEnd w:id="11"/>
      <w:r>
        <w:rPr/>
      </w:r>
      <w:bookmarkStart w:name="_bookmark6" w:id="12"/>
      <w:bookmarkEnd w:id="12"/>
      <w:r>
        <w:rPr/>
      </w:r>
      <w:r>
        <w:rPr>
          <w:color w:val="016699"/>
        </w:rPr>
        <w:t>Relationships</w:t>
      </w:r>
      <w:r>
        <w:rPr>
          <w:color w:val="016699"/>
          <w:spacing w:val="-7"/>
        </w:rPr>
        <w:t> </w:t>
      </w:r>
      <w:r>
        <w:rPr>
          <w:color w:val="016699"/>
        </w:rPr>
        <w:t>Among</w:t>
      </w:r>
      <w:r>
        <w:rPr>
          <w:color w:val="016699"/>
          <w:spacing w:val="-4"/>
        </w:rPr>
        <w:t> </w:t>
      </w:r>
      <w:r>
        <w:rPr>
          <w:color w:val="016699"/>
          <w:spacing w:val="-2"/>
        </w:rPr>
        <w:t>Requirements</w:t>
      </w:r>
    </w:p>
    <w:p>
      <w:pPr>
        <w:pStyle w:val="BodyText"/>
        <w:spacing w:line="264" w:lineRule="auto" w:before="40"/>
        <w:ind w:left="120"/>
      </w:pPr>
      <w:r>
        <w:rPr/>
        <w:t>Each</w:t>
      </w:r>
      <w:r>
        <w:rPr>
          <w:spacing w:val="-2"/>
        </w:rPr>
        <w:t> </w:t>
      </w:r>
      <w:r>
        <w:rPr/>
        <w:t>requirement</w:t>
      </w:r>
      <w:r>
        <w:rPr>
          <w:spacing w:val="-2"/>
        </w:rPr>
        <w:t> </w:t>
      </w:r>
      <w:r>
        <w:rPr/>
        <w:t>is</w:t>
      </w:r>
      <w:r>
        <w:rPr>
          <w:spacing w:val="-2"/>
        </w:rPr>
        <w:t> </w:t>
      </w:r>
      <w:r>
        <w:rPr/>
        <w:t>associated</w:t>
      </w:r>
      <w:r>
        <w:rPr>
          <w:spacing w:val="-2"/>
        </w:rPr>
        <w:t> </w:t>
      </w:r>
      <w:r>
        <w:rPr/>
        <w:t>with</w:t>
      </w:r>
      <w:r>
        <w:rPr>
          <w:spacing w:val="-2"/>
        </w:rPr>
        <w:t> </w:t>
      </w:r>
      <w:r>
        <w:rPr/>
        <w:t>a</w:t>
      </w:r>
      <w:r>
        <w:rPr>
          <w:spacing w:val="-2"/>
        </w:rPr>
        <w:t> </w:t>
      </w:r>
      <w:r>
        <w:rPr/>
        <w:t>business</w:t>
      </w:r>
      <w:r>
        <w:rPr>
          <w:spacing w:val="-2"/>
        </w:rPr>
        <w:t> </w:t>
      </w:r>
      <w:r>
        <w:rPr/>
        <w:t>function</w:t>
      </w:r>
      <w:r>
        <w:rPr>
          <w:spacing w:val="-2"/>
        </w:rPr>
        <w:t> </w:t>
      </w:r>
      <w:r>
        <w:rPr/>
        <w:t>and</w:t>
      </w:r>
      <w:r>
        <w:rPr>
          <w:spacing w:val="-2"/>
        </w:rPr>
        <w:t> </w:t>
      </w:r>
      <w:r>
        <w:rPr/>
        <w:t>is</w:t>
      </w:r>
      <w:r>
        <w:rPr>
          <w:spacing w:val="-2"/>
        </w:rPr>
        <w:t> </w:t>
      </w:r>
      <w:r>
        <w:rPr/>
        <w:t>categorized</w:t>
      </w:r>
      <w:r>
        <w:rPr>
          <w:spacing w:val="-2"/>
        </w:rPr>
        <w:t> </w:t>
      </w:r>
      <w:r>
        <w:rPr/>
        <w:t>as</w:t>
      </w:r>
      <w:r>
        <w:rPr>
          <w:spacing w:val="-2"/>
        </w:rPr>
        <w:t> </w:t>
      </w:r>
      <w:r>
        <w:rPr/>
        <w:t>data</w:t>
      </w:r>
      <w:r>
        <w:rPr>
          <w:spacing w:val="-1"/>
        </w:rPr>
        <w:t> </w:t>
      </w:r>
      <w:r>
        <w:rPr/>
        <w:t>input,</w:t>
      </w:r>
      <w:r>
        <w:rPr>
          <w:spacing w:val="-1"/>
        </w:rPr>
        <w:t> </w:t>
      </w:r>
      <w:r>
        <w:rPr/>
        <w:t>process,</w:t>
      </w:r>
      <w:r>
        <w:rPr>
          <w:spacing w:val="-1"/>
        </w:rPr>
        <w:t> </w:t>
      </w:r>
      <w:r>
        <w:rPr/>
        <w:t>or</w:t>
      </w:r>
      <w:r>
        <w:rPr>
          <w:spacing w:val="-3"/>
        </w:rPr>
        <w:t> </w:t>
      </w:r>
      <w:r>
        <w:rPr/>
        <w:t>output.</w:t>
      </w:r>
      <w:r>
        <w:rPr>
          <w:spacing w:val="-1"/>
        </w:rPr>
        <w:t> </w:t>
      </w:r>
      <w:r>
        <w:rPr/>
        <w:t>The</w:t>
      </w:r>
      <w:r>
        <w:rPr>
          <w:spacing w:val="-2"/>
        </w:rPr>
        <w:t> </w:t>
      </w:r>
      <w:r>
        <w:rPr/>
        <w:t>examples</w:t>
      </w:r>
      <w:r>
        <w:rPr>
          <w:spacing w:val="-1"/>
        </w:rPr>
        <w:t> </w:t>
      </w:r>
      <w:r>
        <w:rPr/>
        <w:t>below</w:t>
      </w:r>
      <w:r>
        <w:rPr>
          <w:spacing w:val="-2"/>
        </w:rPr>
        <w:t> </w:t>
      </w:r>
      <w:r>
        <w:rPr/>
        <w:t>demonstrate</w:t>
      </w:r>
      <w:r>
        <w:rPr>
          <w:spacing w:val="-2"/>
        </w:rPr>
        <w:t> </w:t>
      </w:r>
      <w:r>
        <w:rPr/>
        <w:t>the</w:t>
      </w:r>
      <w:r>
        <w:rPr>
          <w:spacing w:val="-2"/>
        </w:rPr>
        <w:t> </w:t>
      </w:r>
      <w:r>
        <w:rPr/>
        <w:t>relationship between requirement categories for selected payment processing requirements:</w:t>
      </w:r>
    </w:p>
    <w:p>
      <w:pPr>
        <w:pStyle w:val="ListParagraph"/>
        <w:numPr>
          <w:ilvl w:val="0"/>
          <w:numId w:val="1"/>
        </w:numPr>
        <w:tabs>
          <w:tab w:pos="839" w:val="left" w:leader="none"/>
          <w:tab w:pos="840" w:val="left" w:leader="none"/>
        </w:tabs>
        <w:spacing w:line="240" w:lineRule="auto" w:before="119" w:after="0"/>
        <w:ind w:left="840" w:right="0" w:hanging="360"/>
        <w:jc w:val="left"/>
        <w:rPr>
          <w:sz w:val="24"/>
        </w:rPr>
      </w:pPr>
      <w:r>
        <w:rPr>
          <w:sz w:val="24"/>
        </w:rPr>
        <w:t>Each</w:t>
      </w:r>
      <w:r>
        <w:rPr>
          <w:spacing w:val="-7"/>
          <w:sz w:val="24"/>
        </w:rPr>
        <w:t> </w:t>
      </w:r>
      <w:r>
        <w:rPr>
          <w:sz w:val="24"/>
        </w:rPr>
        <w:t>financial</w:t>
      </w:r>
      <w:r>
        <w:rPr>
          <w:spacing w:val="-5"/>
          <w:sz w:val="24"/>
        </w:rPr>
        <w:t> </w:t>
      </w:r>
      <w:r>
        <w:rPr>
          <w:sz w:val="24"/>
        </w:rPr>
        <w:t>management</w:t>
      </w:r>
      <w:r>
        <w:rPr>
          <w:spacing w:val="-4"/>
          <w:sz w:val="24"/>
        </w:rPr>
        <w:t> </w:t>
      </w:r>
      <w:r>
        <w:rPr>
          <w:sz w:val="24"/>
        </w:rPr>
        <w:t>function</w:t>
      </w:r>
      <w:r>
        <w:rPr>
          <w:spacing w:val="-5"/>
          <w:sz w:val="24"/>
        </w:rPr>
        <w:t> </w:t>
      </w:r>
      <w:r>
        <w:rPr>
          <w:sz w:val="24"/>
        </w:rPr>
        <w:t>(for</w:t>
      </w:r>
      <w:r>
        <w:rPr>
          <w:spacing w:val="-5"/>
          <w:sz w:val="24"/>
        </w:rPr>
        <w:t> </w:t>
      </w:r>
      <w:r>
        <w:rPr>
          <w:sz w:val="24"/>
        </w:rPr>
        <w:t>example,</w:t>
      </w:r>
      <w:r>
        <w:rPr>
          <w:spacing w:val="-4"/>
          <w:sz w:val="24"/>
        </w:rPr>
        <w:t> </w:t>
      </w:r>
      <w:r>
        <w:rPr>
          <w:sz w:val="24"/>
        </w:rPr>
        <w:t>payments)</w:t>
      </w:r>
      <w:r>
        <w:rPr>
          <w:spacing w:val="-4"/>
          <w:sz w:val="24"/>
        </w:rPr>
        <w:t> </w:t>
      </w:r>
      <w:r>
        <w:rPr>
          <w:sz w:val="24"/>
        </w:rPr>
        <w:t>captures</w:t>
      </w:r>
      <w:r>
        <w:rPr>
          <w:spacing w:val="-5"/>
          <w:sz w:val="24"/>
        </w:rPr>
        <w:t> </w:t>
      </w:r>
      <w:r>
        <w:rPr>
          <w:sz w:val="24"/>
        </w:rPr>
        <w:t>its</w:t>
      </w:r>
      <w:r>
        <w:rPr>
          <w:spacing w:val="-5"/>
          <w:sz w:val="24"/>
        </w:rPr>
        <w:t> </w:t>
      </w:r>
      <w:r>
        <w:rPr>
          <w:sz w:val="24"/>
        </w:rPr>
        <w:t>required</w:t>
      </w:r>
      <w:r>
        <w:rPr>
          <w:spacing w:val="-5"/>
          <w:sz w:val="24"/>
        </w:rPr>
        <w:t> </w:t>
      </w:r>
      <w:r>
        <w:rPr>
          <w:sz w:val="24"/>
        </w:rPr>
        <w:t>financial</w:t>
      </w:r>
      <w:r>
        <w:rPr>
          <w:spacing w:val="-5"/>
          <w:sz w:val="24"/>
        </w:rPr>
        <w:t> </w:t>
      </w:r>
      <w:r>
        <w:rPr>
          <w:sz w:val="24"/>
        </w:rPr>
        <w:t>management</w:t>
      </w:r>
      <w:r>
        <w:rPr>
          <w:spacing w:val="-4"/>
          <w:sz w:val="24"/>
        </w:rPr>
        <w:t> </w:t>
      </w:r>
      <w:r>
        <w:rPr>
          <w:spacing w:val="-2"/>
          <w:sz w:val="24"/>
        </w:rPr>
        <w:t>information.</w:t>
      </w:r>
    </w:p>
    <w:p>
      <w:pPr>
        <w:pStyle w:val="ListParagraph"/>
        <w:numPr>
          <w:ilvl w:val="0"/>
          <w:numId w:val="1"/>
        </w:numPr>
        <w:tabs>
          <w:tab w:pos="839" w:val="left" w:leader="none"/>
          <w:tab w:pos="840" w:val="left" w:leader="none"/>
        </w:tabs>
        <w:spacing w:line="240" w:lineRule="auto" w:before="26" w:after="0"/>
        <w:ind w:left="840" w:right="0" w:hanging="360"/>
        <w:jc w:val="left"/>
        <w:rPr>
          <w:sz w:val="24"/>
        </w:rPr>
      </w:pPr>
      <w:r>
        <w:rPr>
          <w:sz w:val="24"/>
        </w:rPr>
        <w:t>Some</w:t>
      </w:r>
      <w:r>
        <w:rPr>
          <w:spacing w:val="-7"/>
          <w:sz w:val="24"/>
        </w:rPr>
        <w:t> </w:t>
      </w:r>
      <w:r>
        <w:rPr>
          <w:sz w:val="24"/>
        </w:rPr>
        <w:t>functions</w:t>
      </w:r>
      <w:r>
        <w:rPr>
          <w:spacing w:val="-4"/>
          <w:sz w:val="24"/>
        </w:rPr>
        <w:t> </w:t>
      </w:r>
      <w:r>
        <w:rPr>
          <w:sz w:val="24"/>
        </w:rPr>
        <w:t>execute</w:t>
      </w:r>
      <w:r>
        <w:rPr>
          <w:spacing w:val="-4"/>
          <w:sz w:val="24"/>
        </w:rPr>
        <w:t> </w:t>
      </w:r>
      <w:r>
        <w:rPr>
          <w:sz w:val="24"/>
        </w:rPr>
        <w:t>manual</w:t>
      </w:r>
      <w:r>
        <w:rPr>
          <w:spacing w:val="-4"/>
          <w:sz w:val="24"/>
        </w:rPr>
        <w:t> </w:t>
      </w:r>
      <w:r>
        <w:rPr>
          <w:sz w:val="24"/>
        </w:rPr>
        <w:t>or</w:t>
      </w:r>
      <w:r>
        <w:rPr>
          <w:spacing w:val="-3"/>
          <w:sz w:val="24"/>
        </w:rPr>
        <w:t> </w:t>
      </w:r>
      <w:r>
        <w:rPr>
          <w:sz w:val="24"/>
        </w:rPr>
        <w:t>automated</w:t>
      </w:r>
      <w:r>
        <w:rPr>
          <w:spacing w:val="-5"/>
          <w:sz w:val="24"/>
        </w:rPr>
        <w:t> </w:t>
      </w:r>
      <w:r>
        <w:rPr>
          <w:sz w:val="24"/>
        </w:rPr>
        <w:t>processes</w:t>
      </w:r>
      <w:r>
        <w:rPr>
          <w:spacing w:val="-4"/>
          <w:sz w:val="24"/>
        </w:rPr>
        <w:t> </w:t>
      </w:r>
      <w:r>
        <w:rPr>
          <w:sz w:val="24"/>
        </w:rPr>
        <w:t>to</w:t>
      </w:r>
      <w:r>
        <w:rPr>
          <w:spacing w:val="-4"/>
          <w:sz w:val="24"/>
        </w:rPr>
        <w:t> </w:t>
      </w:r>
      <w:r>
        <w:rPr>
          <w:sz w:val="24"/>
        </w:rPr>
        <w:t>derive</w:t>
      </w:r>
      <w:r>
        <w:rPr>
          <w:spacing w:val="-5"/>
          <w:sz w:val="24"/>
        </w:rPr>
        <w:t> </w:t>
      </w:r>
      <w:r>
        <w:rPr>
          <w:sz w:val="24"/>
        </w:rPr>
        <w:t>additional</w:t>
      </w:r>
      <w:r>
        <w:rPr>
          <w:spacing w:val="-4"/>
          <w:sz w:val="24"/>
        </w:rPr>
        <w:t> </w:t>
      </w:r>
      <w:r>
        <w:rPr>
          <w:sz w:val="24"/>
        </w:rPr>
        <w:t>financial</w:t>
      </w:r>
      <w:r>
        <w:rPr>
          <w:spacing w:val="-4"/>
          <w:sz w:val="24"/>
        </w:rPr>
        <w:t> </w:t>
      </w:r>
      <w:r>
        <w:rPr>
          <w:sz w:val="24"/>
        </w:rPr>
        <w:t>management</w:t>
      </w:r>
      <w:r>
        <w:rPr>
          <w:spacing w:val="-4"/>
          <w:sz w:val="24"/>
        </w:rPr>
        <w:t> </w:t>
      </w:r>
      <w:r>
        <w:rPr>
          <w:spacing w:val="-2"/>
          <w:sz w:val="24"/>
        </w:rPr>
        <w:t>information.</w:t>
      </w:r>
    </w:p>
    <w:p>
      <w:pPr>
        <w:pStyle w:val="ListParagraph"/>
        <w:numPr>
          <w:ilvl w:val="0"/>
          <w:numId w:val="1"/>
        </w:numPr>
        <w:tabs>
          <w:tab w:pos="839" w:val="left" w:leader="none"/>
          <w:tab w:pos="840" w:val="left" w:leader="none"/>
        </w:tabs>
        <w:spacing w:line="240" w:lineRule="auto" w:before="26" w:after="0"/>
        <w:ind w:left="840" w:right="0" w:hanging="360"/>
        <w:jc w:val="left"/>
        <w:rPr>
          <w:sz w:val="24"/>
        </w:rPr>
      </w:pPr>
      <w:r>
        <w:rPr>
          <w:sz w:val="24"/>
        </w:rPr>
        <w:t>Each</w:t>
      </w:r>
      <w:r>
        <w:rPr>
          <w:spacing w:val="-4"/>
          <w:sz w:val="24"/>
        </w:rPr>
        <w:t> </w:t>
      </w:r>
      <w:r>
        <w:rPr>
          <w:sz w:val="24"/>
        </w:rPr>
        <w:t>financial</w:t>
      </w:r>
      <w:r>
        <w:rPr>
          <w:spacing w:val="-3"/>
          <w:sz w:val="24"/>
        </w:rPr>
        <w:t> </w:t>
      </w:r>
      <w:r>
        <w:rPr>
          <w:sz w:val="24"/>
        </w:rPr>
        <w:t>management</w:t>
      </w:r>
      <w:r>
        <w:rPr>
          <w:spacing w:val="-3"/>
          <w:sz w:val="24"/>
        </w:rPr>
        <w:t> </w:t>
      </w:r>
      <w:r>
        <w:rPr>
          <w:sz w:val="24"/>
        </w:rPr>
        <w:t>function</w:t>
      </w:r>
      <w:r>
        <w:rPr>
          <w:spacing w:val="-3"/>
          <w:sz w:val="24"/>
        </w:rPr>
        <w:t> </w:t>
      </w:r>
      <w:r>
        <w:rPr>
          <w:sz w:val="24"/>
        </w:rPr>
        <w:t>provides</w:t>
      </w:r>
      <w:r>
        <w:rPr>
          <w:spacing w:val="-3"/>
          <w:sz w:val="24"/>
        </w:rPr>
        <w:t> </w:t>
      </w:r>
      <w:r>
        <w:rPr>
          <w:sz w:val="24"/>
        </w:rPr>
        <w:t>the</w:t>
      </w:r>
      <w:r>
        <w:rPr>
          <w:spacing w:val="-3"/>
          <w:sz w:val="24"/>
        </w:rPr>
        <w:t> </w:t>
      </w:r>
      <w:r>
        <w:rPr>
          <w:sz w:val="24"/>
        </w:rPr>
        <w:t>data</w:t>
      </w:r>
      <w:r>
        <w:rPr>
          <w:spacing w:val="-3"/>
          <w:sz w:val="24"/>
        </w:rPr>
        <w:t> </w:t>
      </w:r>
      <w:r>
        <w:rPr>
          <w:sz w:val="24"/>
        </w:rPr>
        <w:t>required</w:t>
      </w:r>
      <w:r>
        <w:rPr>
          <w:spacing w:val="-4"/>
          <w:sz w:val="24"/>
        </w:rPr>
        <w:t> </w:t>
      </w:r>
      <w:r>
        <w:rPr>
          <w:sz w:val="24"/>
        </w:rPr>
        <w:t>to</w:t>
      </w:r>
      <w:r>
        <w:rPr>
          <w:spacing w:val="-3"/>
          <w:sz w:val="24"/>
        </w:rPr>
        <w:t> </w:t>
      </w:r>
      <w:r>
        <w:rPr>
          <w:sz w:val="24"/>
        </w:rPr>
        <w:t>post</w:t>
      </w:r>
      <w:r>
        <w:rPr>
          <w:spacing w:val="-2"/>
          <w:sz w:val="24"/>
        </w:rPr>
        <w:t> </w:t>
      </w:r>
      <w:r>
        <w:rPr>
          <w:sz w:val="24"/>
        </w:rPr>
        <w:t>to</w:t>
      </w:r>
      <w:r>
        <w:rPr>
          <w:spacing w:val="-4"/>
          <w:sz w:val="24"/>
        </w:rPr>
        <w:t> </w:t>
      </w:r>
      <w:r>
        <w:rPr>
          <w:sz w:val="24"/>
        </w:rPr>
        <w:t>the</w:t>
      </w:r>
      <w:r>
        <w:rPr>
          <w:spacing w:val="-3"/>
          <w:sz w:val="24"/>
        </w:rPr>
        <w:t> </w:t>
      </w:r>
      <w:r>
        <w:rPr>
          <w:sz w:val="24"/>
        </w:rPr>
        <w:t>General</w:t>
      </w:r>
      <w:r>
        <w:rPr>
          <w:spacing w:val="-3"/>
          <w:sz w:val="24"/>
        </w:rPr>
        <w:t> </w:t>
      </w:r>
      <w:r>
        <w:rPr>
          <w:sz w:val="24"/>
        </w:rPr>
        <w:t>Ledger</w:t>
      </w:r>
      <w:r>
        <w:rPr>
          <w:spacing w:val="-3"/>
          <w:sz w:val="24"/>
        </w:rPr>
        <w:t> </w:t>
      </w:r>
      <w:r>
        <w:rPr>
          <w:sz w:val="24"/>
        </w:rPr>
        <w:t>(GL)</w:t>
      </w:r>
      <w:r>
        <w:rPr>
          <w:spacing w:val="-4"/>
          <w:sz w:val="24"/>
        </w:rPr>
        <w:t> </w:t>
      </w:r>
      <w:r>
        <w:rPr>
          <w:spacing w:val="-2"/>
          <w:sz w:val="24"/>
        </w:rPr>
        <w:t>function.</w:t>
      </w:r>
    </w:p>
    <w:p>
      <w:pPr>
        <w:pStyle w:val="ListParagraph"/>
        <w:numPr>
          <w:ilvl w:val="0"/>
          <w:numId w:val="1"/>
        </w:numPr>
        <w:tabs>
          <w:tab w:pos="839" w:val="left" w:leader="none"/>
          <w:tab w:pos="840" w:val="left" w:leader="none"/>
        </w:tabs>
        <w:spacing w:line="261" w:lineRule="auto" w:before="26" w:after="0"/>
        <w:ind w:left="840" w:right="1172" w:hanging="360"/>
        <w:jc w:val="left"/>
        <w:rPr>
          <w:sz w:val="24"/>
        </w:rPr>
      </w:pPr>
      <w:r>
        <w:rPr>
          <w:sz w:val="24"/>
        </w:rPr>
        <w:t>The</w:t>
      </w:r>
      <w:r>
        <w:rPr>
          <w:spacing w:val="-2"/>
          <w:sz w:val="24"/>
        </w:rPr>
        <w:t> </w:t>
      </w:r>
      <w:r>
        <w:rPr>
          <w:sz w:val="24"/>
        </w:rPr>
        <w:t>GL</w:t>
      </w:r>
      <w:r>
        <w:rPr>
          <w:spacing w:val="-2"/>
          <w:sz w:val="24"/>
        </w:rPr>
        <w:t> </w:t>
      </w:r>
      <w:r>
        <w:rPr>
          <w:sz w:val="24"/>
        </w:rPr>
        <w:t>function</w:t>
      </w:r>
      <w:r>
        <w:rPr>
          <w:spacing w:val="-2"/>
          <w:sz w:val="24"/>
        </w:rPr>
        <w:t> </w:t>
      </w:r>
      <w:r>
        <w:rPr>
          <w:sz w:val="24"/>
        </w:rPr>
        <w:t>captures</w:t>
      </w:r>
      <w:r>
        <w:rPr>
          <w:spacing w:val="-2"/>
          <w:sz w:val="24"/>
        </w:rPr>
        <w:t> </w:t>
      </w:r>
      <w:r>
        <w:rPr>
          <w:sz w:val="24"/>
        </w:rPr>
        <w:t>the</w:t>
      </w:r>
      <w:r>
        <w:rPr>
          <w:spacing w:val="-2"/>
          <w:sz w:val="24"/>
        </w:rPr>
        <w:t> </w:t>
      </w:r>
      <w:r>
        <w:rPr>
          <w:sz w:val="24"/>
        </w:rPr>
        <w:t>GL</w:t>
      </w:r>
      <w:r>
        <w:rPr>
          <w:spacing w:val="-5"/>
          <w:sz w:val="24"/>
        </w:rPr>
        <w:t> </w:t>
      </w:r>
      <w:r>
        <w:rPr>
          <w:sz w:val="24"/>
        </w:rPr>
        <w:t>transaction</w:t>
      </w:r>
      <w:r>
        <w:rPr>
          <w:spacing w:val="-2"/>
          <w:sz w:val="24"/>
        </w:rPr>
        <w:t> </w:t>
      </w:r>
      <w:r>
        <w:rPr>
          <w:sz w:val="24"/>
        </w:rPr>
        <w:t>information</w:t>
      </w:r>
      <w:r>
        <w:rPr>
          <w:spacing w:val="-2"/>
          <w:sz w:val="24"/>
        </w:rPr>
        <w:t> </w:t>
      </w:r>
      <w:r>
        <w:rPr>
          <w:sz w:val="24"/>
        </w:rPr>
        <w:t>from</w:t>
      </w:r>
      <w:r>
        <w:rPr>
          <w:spacing w:val="-3"/>
          <w:sz w:val="24"/>
        </w:rPr>
        <w:t> </w:t>
      </w:r>
      <w:r>
        <w:rPr>
          <w:sz w:val="24"/>
        </w:rPr>
        <w:t>the</w:t>
      </w:r>
      <w:r>
        <w:rPr>
          <w:spacing w:val="-3"/>
          <w:sz w:val="24"/>
        </w:rPr>
        <w:t> </w:t>
      </w:r>
      <w:r>
        <w:rPr>
          <w:sz w:val="24"/>
        </w:rPr>
        <w:t>other</w:t>
      </w:r>
      <w:r>
        <w:rPr>
          <w:spacing w:val="-2"/>
          <w:sz w:val="24"/>
        </w:rPr>
        <w:t> </w:t>
      </w:r>
      <w:r>
        <w:rPr>
          <w:sz w:val="24"/>
        </w:rPr>
        <w:t>financial</w:t>
      </w:r>
      <w:r>
        <w:rPr>
          <w:spacing w:val="-2"/>
          <w:sz w:val="24"/>
        </w:rPr>
        <w:t> </w:t>
      </w:r>
      <w:r>
        <w:rPr>
          <w:sz w:val="24"/>
        </w:rPr>
        <w:t>management</w:t>
      </w:r>
      <w:r>
        <w:rPr>
          <w:spacing w:val="-2"/>
          <w:sz w:val="24"/>
        </w:rPr>
        <w:t> </w:t>
      </w:r>
      <w:r>
        <w:rPr>
          <w:sz w:val="24"/>
        </w:rPr>
        <w:t>functions</w:t>
      </w:r>
      <w:r>
        <w:rPr>
          <w:spacing w:val="-2"/>
          <w:sz w:val="24"/>
        </w:rPr>
        <w:t> </w:t>
      </w:r>
      <w:r>
        <w:rPr>
          <w:sz w:val="24"/>
        </w:rPr>
        <w:t>and</w:t>
      </w:r>
      <w:r>
        <w:rPr>
          <w:spacing w:val="-2"/>
          <w:sz w:val="24"/>
        </w:rPr>
        <w:t> </w:t>
      </w:r>
      <w:r>
        <w:rPr>
          <w:sz w:val="24"/>
        </w:rPr>
        <w:t>executes</w:t>
      </w:r>
      <w:r>
        <w:rPr>
          <w:spacing w:val="-2"/>
          <w:sz w:val="24"/>
        </w:rPr>
        <w:t> </w:t>
      </w:r>
      <w:r>
        <w:rPr>
          <w:sz w:val="24"/>
        </w:rPr>
        <w:t>the</w:t>
      </w:r>
      <w:r>
        <w:rPr>
          <w:spacing w:val="-2"/>
          <w:sz w:val="24"/>
        </w:rPr>
        <w:t> </w:t>
      </w:r>
      <w:r>
        <w:rPr>
          <w:sz w:val="24"/>
        </w:rPr>
        <w:t>processes</w:t>
      </w:r>
      <w:r>
        <w:rPr>
          <w:spacing w:val="-2"/>
          <w:sz w:val="24"/>
        </w:rPr>
        <w:t> </w:t>
      </w:r>
      <w:r>
        <w:rPr>
          <w:sz w:val="24"/>
        </w:rPr>
        <w:t>needed</w:t>
      </w:r>
      <w:r>
        <w:rPr>
          <w:spacing w:val="-2"/>
          <w:sz w:val="24"/>
        </w:rPr>
        <w:t> </w:t>
      </w:r>
      <w:r>
        <w:rPr>
          <w:sz w:val="24"/>
        </w:rPr>
        <w:t>to</w:t>
      </w:r>
      <w:r>
        <w:rPr>
          <w:spacing w:val="-2"/>
          <w:sz w:val="24"/>
        </w:rPr>
        <w:t> </w:t>
      </w:r>
      <w:r>
        <w:rPr>
          <w:sz w:val="24"/>
        </w:rPr>
        <w:t>post transactions to the GL.</w:t>
      </w:r>
    </w:p>
    <w:p>
      <w:pPr>
        <w:pStyle w:val="ListParagraph"/>
        <w:numPr>
          <w:ilvl w:val="0"/>
          <w:numId w:val="1"/>
        </w:numPr>
        <w:tabs>
          <w:tab w:pos="839" w:val="left" w:leader="none"/>
          <w:tab w:pos="840" w:val="left" w:leader="none"/>
        </w:tabs>
        <w:spacing w:line="261" w:lineRule="auto" w:before="2" w:after="0"/>
        <w:ind w:left="840" w:right="1129" w:hanging="360"/>
        <w:jc w:val="left"/>
        <w:rPr>
          <w:sz w:val="24"/>
        </w:rPr>
      </w:pPr>
      <w:r>
        <w:rPr>
          <w:sz w:val="24"/>
        </w:rPr>
        <w:t>Using</w:t>
      </w:r>
      <w:r>
        <w:rPr>
          <w:spacing w:val="-2"/>
          <w:sz w:val="24"/>
        </w:rPr>
        <w:t> </w:t>
      </w:r>
      <w:r>
        <w:rPr>
          <w:sz w:val="24"/>
        </w:rPr>
        <w:t>the</w:t>
      </w:r>
      <w:r>
        <w:rPr>
          <w:spacing w:val="-2"/>
          <w:sz w:val="24"/>
        </w:rPr>
        <w:t> </w:t>
      </w:r>
      <w:r>
        <w:rPr>
          <w:sz w:val="24"/>
        </w:rPr>
        <w:t>information</w:t>
      </w:r>
      <w:r>
        <w:rPr>
          <w:spacing w:val="-3"/>
          <w:sz w:val="24"/>
        </w:rPr>
        <w:t> </w:t>
      </w:r>
      <w:r>
        <w:rPr>
          <w:sz w:val="24"/>
        </w:rPr>
        <w:t>posted</w:t>
      </w:r>
      <w:r>
        <w:rPr>
          <w:spacing w:val="-2"/>
          <w:sz w:val="24"/>
        </w:rPr>
        <w:t> </w:t>
      </w:r>
      <w:r>
        <w:rPr>
          <w:sz w:val="24"/>
        </w:rPr>
        <w:t>to</w:t>
      </w:r>
      <w:r>
        <w:rPr>
          <w:spacing w:val="-2"/>
          <w:sz w:val="24"/>
        </w:rPr>
        <w:t> </w:t>
      </w:r>
      <w:r>
        <w:rPr>
          <w:sz w:val="24"/>
        </w:rPr>
        <w:t>the</w:t>
      </w:r>
      <w:r>
        <w:rPr>
          <w:spacing w:val="-2"/>
          <w:sz w:val="24"/>
        </w:rPr>
        <w:t> </w:t>
      </w:r>
      <w:r>
        <w:rPr>
          <w:sz w:val="24"/>
        </w:rPr>
        <w:t>GL,</w:t>
      </w:r>
      <w:r>
        <w:rPr>
          <w:spacing w:val="-2"/>
          <w:sz w:val="24"/>
        </w:rPr>
        <w:t> </w:t>
      </w:r>
      <w:r>
        <w:rPr>
          <w:sz w:val="24"/>
        </w:rPr>
        <w:t>outputs</w:t>
      </w:r>
      <w:r>
        <w:rPr>
          <w:spacing w:val="-2"/>
          <w:sz w:val="24"/>
        </w:rPr>
        <w:t> </w:t>
      </w:r>
      <w:r>
        <w:rPr>
          <w:sz w:val="24"/>
        </w:rPr>
        <w:t>are</w:t>
      </w:r>
      <w:r>
        <w:rPr>
          <w:spacing w:val="-2"/>
          <w:sz w:val="24"/>
        </w:rPr>
        <w:t> </w:t>
      </w:r>
      <w:r>
        <w:rPr>
          <w:sz w:val="24"/>
        </w:rPr>
        <w:t>generated</w:t>
      </w:r>
      <w:r>
        <w:rPr>
          <w:spacing w:val="-2"/>
          <w:sz w:val="24"/>
        </w:rPr>
        <w:t> </w:t>
      </w:r>
      <w:r>
        <w:rPr>
          <w:sz w:val="24"/>
        </w:rPr>
        <w:t>in</w:t>
      </w:r>
      <w:r>
        <w:rPr>
          <w:spacing w:val="-2"/>
          <w:sz w:val="24"/>
        </w:rPr>
        <w:t> </w:t>
      </w:r>
      <w:r>
        <w:rPr>
          <w:sz w:val="24"/>
        </w:rPr>
        <w:t>the</w:t>
      </w:r>
      <w:r>
        <w:rPr>
          <w:spacing w:val="-2"/>
          <w:sz w:val="24"/>
        </w:rPr>
        <w:t> </w:t>
      </w:r>
      <w:r>
        <w:rPr>
          <w:sz w:val="24"/>
        </w:rPr>
        <w:t>appropriate</w:t>
      </w:r>
      <w:r>
        <w:rPr>
          <w:spacing w:val="-2"/>
          <w:sz w:val="24"/>
        </w:rPr>
        <w:t> </w:t>
      </w:r>
      <w:r>
        <w:rPr>
          <w:sz w:val="24"/>
        </w:rPr>
        <w:t>form</w:t>
      </w:r>
      <w:r>
        <w:rPr>
          <w:spacing w:val="-3"/>
          <w:sz w:val="24"/>
        </w:rPr>
        <w:t> </w:t>
      </w:r>
      <w:r>
        <w:rPr>
          <w:sz w:val="24"/>
        </w:rPr>
        <w:t>and</w:t>
      </w:r>
      <w:r>
        <w:rPr>
          <w:spacing w:val="-2"/>
          <w:sz w:val="24"/>
        </w:rPr>
        <w:t> </w:t>
      </w:r>
      <w:r>
        <w:rPr>
          <w:sz w:val="24"/>
        </w:rPr>
        <w:t>with</w:t>
      </w:r>
      <w:r>
        <w:rPr>
          <w:spacing w:val="-2"/>
          <w:sz w:val="24"/>
        </w:rPr>
        <w:t> </w:t>
      </w:r>
      <w:r>
        <w:rPr>
          <w:sz w:val="24"/>
        </w:rPr>
        <w:t>the</w:t>
      </w:r>
      <w:r>
        <w:rPr>
          <w:spacing w:val="-2"/>
          <w:sz w:val="24"/>
        </w:rPr>
        <w:t> </w:t>
      </w:r>
      <w:r>
        <w:rPr>
          <w:sz w:val="24"/>
        </w:rPr>
        <w:t>appropriate</w:t>
      </w:r>
      <w:r>
        <w:rPr>
          <w:spacing w:val="-2"/>
          <w:sz w:val="24"/>
        </w:rPr>
        <w:t> </w:t>
      </w:r>
      <w:r>
        <w:rPr>
          <w:sz w:val="24"/>
        </w:rPr>
        <w:t>content</w:t>
      </w:r>
      <w:r>
        <w:rPr>
          <w:spacing w:val="-1"/>
          <w:sz w:val="24"/>
        </w:rPr>
        <w:t> </w:t>
      </w:r>
      <w:r>
        <w:rPr>
          <w:sz w:val="24"/>
        </w:rPr>
        <w:t>for</w:t>
      </w:r>
      <w:r>
        <w:rPr>
          <w:spacing w:val="-3"/>
          <w:sz w:val="24"/>
        </w:rPr>
        <w:t> </w:t>
      </w:r>
      <w:r>
        <w:rPr>
          <w:sz w:val="24"/>
        </w:rPr>
        <w:t>distribution</w:t>
      </w:r>
      <w:r>
        <w:rPr>
          <w:spacing w:val="-1"/>
          <w:sz w:val="24"/>
        </w:rPr>
        <w:t> </w:t>
      </w:r>
      <w:r>
        <w:rPr>
          <w:sz w:val="24"/>
        </w:rPr>
        <w:t>to</w:t>
      </w:r>
      <w:r>
        <w:rPr>
          <w:spacing w:val="-2"/>
          <w:sz w:val="24"/>
        </w:rPr>
        <w:t> </w:t>
      </w:r>
      <w:r>
        <w:rPr>
          <w:sz w:val="24"/>
        </w:rPr>
        <w:t>internal</w:t>
      </w:r>
      <w:r>
        <w:rPr>
          <w:spacing w:val="-2"/>
          <w:sz w:val="24"/>
        </w:rPr>
        <w:t> </w:t>
      </w:r>
      <w:r>
        <w:rPr>
          <w:sz w:val="24"/>
        </w:rPr>
        <w:t>and external stakeholders.</w:t>
      </w:r>
    </w:p>
    <w:p>
      <w:pPr>
        <w:pStyle w:val="BodyText"/>
        <w:spacing w:line="264" w:lineRule="auto" w:before="122"/>
        <w:ind w:left="119" w:right="319"/>
      </w:pPr>
      <w:r>
        <w:rPr/>
        <w:t>Requirements</w:t>
      </w:r>
      <w:r>
        <w:rPr>
          <w:spacing w:val="-2"/>
        </w:rPr>
        <w:t> </w:t>
      </w:r>
      <w:r>
        <w:rPr/>
        <w:t>for</w:t>
      </w:r>
      <w:r>
        <w:rPr>
          <w:spacing w:val="-3"/>
        </w:rPr>
        <w:t> </w:t>
      </w:r>
      <w:r>
        <w:rPr/>
        <w:t>securing</w:t>
      </w:r>
      <w:r>
        <w:rPr>
          <w:spacing w:val="-2"/>
        </w:rPr>
        <w:t> </w:t>
      </w:r>
      <w:r>
        <w:rPr/>
        <w:t>financial</w:t>
      </w:r>
      <w:r>
        <w:rPr>
          <w:spacing w:val="-2"/>
        </w:rPr>
        <w:t> </w:t>
      </w:r>
      <w:r>
        <w:rPr/>
        <w:t>management</w:t>
      </w:r>
      <w:r>
        <w:rPr>
          <w:spacing w:val="-2"/>
        </w:rPr>
        <w:t> </w:t>
      </w:r>
      <w:r>
        <w:rPr/>
        <w:t>system</w:t>
      </w:r>
      <w:r>
        <w:rPr>
          <w:spacing w:val="-2"/>
        </w:rPr>
        <w:t> </w:t>
      </w:r>
      <w:r>
        <w:rPr/>
        <w:t>information</w:t>
      </w:r>
      <w:r>
        <w:rPr>
          <w:spacing w:val="-2"/>
        </w:rPr>
        <w:t> </w:t>
      </w:r>
      <w:r>
        <w:rPr/>
        <w:t>are</w:t>
      </w:r>
      <w:r>
        <w:rPr>
          <w:spacing w:val="-2"/>
        </w:rPr>
        <w:t> </w:t>
      </w:r>
      <w:r>
        <w:rPr/>
        <w:t>included</w:t>
      </w:r>
      <w:r>
        <w:rPr>
          <w:spacing w:val="-2"/>
        </w:rPr>
        <w:t> </w:t>
      </w:r>
      <w:r>
        <w:rPr/>
        <w:t>in</w:t>
      </w:r>
      <w:r>
        <w:rPr>
          <w:spacing w:val="-2"/>
        </w:rPr>
        <w:t> </w:t>
      </w:r>
      <w:r>
        <w:rPr/>
        <w:t>this</w:t>
      </w:r>
      <w:r>
        <w:rPr>
          <w:spacing w:val="-1"/>
        </w:rPr>
        <w:t> </w:t>
      </w:r>
      <w:r>
        <w:rPr/>
        <w:t>document</w:t>
      </w:r>
      <w:r>
        <w:rPr>
          <w:spacing w:val="-3"/>
        </w:rPr>
        <w:t> </w:t>
      </w:r>
      <w:r>
        <w:rPr/>
        <w:t>until</w:t>
      </w:r>
      <w:r>
        <w:rPr>
          <w:spacing w:val="-2"/>
        </w:rPr>
        <w:t> </w:t>
      </w:r>
      <w:r>
        <w:rPr/>
        <w:t>the</w:t>
      </w:r>
      <w:r>
        <w:rPr>
          <w:spacing w:val="-2"/>
        </w:rPr>
        <w:t> </w:t>
      </w:r>
      <w:r>
        <w:rPr/>
        <w:t>newly</w:t>
      </w:r>
      <w:r>
        <w:rPr>
          <w:spacing w:val="-2"/>
        </w:rPr>
        <w:t> </w:t>
      </w:r>
      <w:r>
        <w:rPr/>
        <w:t>designated</w:t>
      </w:r>
      <w:r>
        <w:rPr>
          <w:spacing w:val="-2"/>
        </w:rPr>
        <w:t> </w:t>
      </w:r>
      <w:r>
        <w:rPr/>
        <w:t>Standards</w:t>
      </w:r>
      <w:r>
        <w:rPr>
          <w:spacing w:val="-2"/>
        </w:rPr>
        <w:t> </w:t>
      </w:r>
      <w:r>
        <w:rPr/>
        <w:t>Setting</w:t>
      </w:r>
      <w:r>
        <w:rPr>
          <w:spacing w:val="-2"/>
        </w:rPr>
        <w:t> </w:t>
      </w:r>
      <w:r>
        <w:rPr/>
        <w:t>Agency</w:t>
      </w:r>
      <w:r>
        <w:rPr>
          <w:spacing w:val="-2"/>
        </w:rPr>
        <w:t> </w:t>
      </w:r>
      <w:r>
        <w:rPr/>
        <w:t>(SSA)</w:t>
      </w:r>
      <w:r>
        <w:rPr>
          <w:spacing w:val="-1"/>
        </w:rPr>
        <w:t> </w:t>
      </w:r>
      <w:r>
        <w:rPr/>
        <w:t>for cybersecurity (CYB) completes development of their Federal Integrated Business Framework (FIBF) Business Capabilities. Similarly, requirements for making federal financial information accessible to persons with disabilities are included in this document until an agency is designated as the SSA for information technology services (ITS).</w:t>
      </w:r>
    </w:p>
    <w:p>
      <w:pPr>
        <w:spacing w:after="0" w:line="264" w:lineRule="auto"/>
        <w:sectPr>
          <w:pgSz w:w="20160" w:h="12240" w:orient="landscape"/>
          <w:pgMar w:header="288" w:footer="728" w:top="1380" w:bottom="940" w:left="1320" w:right="1140"/>
        </w:sectPr>
      </w:pPr>
    </w:p>
    <w:p>
      <w:pPr>
        <w:pStyle w:val="BodyText"/>
        <w:rPr>
          <w:sz w:val="20"/>
        </w:rPr>
      </w:pPr>
    </w:p>
    <w:p>
      <w:pPr>
        <w:pStyle w:val="BodyText"/>
        <w:spacing w:before="5"/>
        <w:rPr>
          <w:sz w:val="12"/>
        </w:rPr>
      </w:pPr>
    </w:p>
    <w:p>
      <w:pPr>
        <w:pStyle w:val="BodyText"/>
        <w:ind w:left="682"/>
        <w:rPr>
          <w:sz w:val="20"/>
        </w:rPr>
      </w:pPr>
      <w:r>
        <w:rPr>
          <w:sz w:val="20"/>
        </w:rPr>
        <w:drawing>
          <wp:inline distT="0" distB="0" distL="0" distR="0">
            <wp:extent cx="10143299" cy="4980336"/>
            <wp:effectExtent l="0" t="0" r="0" b="0"/>
            <wp:docPr id="9" name="image4.jpeg" descr="Diagram of the Relationships Among Requirements. Description of the diagram can be found in the section: Relationships Among Requirements "/>
            <wp:cNvGraphicFramePr>
              <a:graphicFrameLocks noChangeAspect="1"/>
            </wp:cNvGraphicFramePr>
            <a:graphic>
              <a:graphicData uri="http://schemas.openxmlformats.org/drawingml/2006/picture">
                <pic:pic>
                  <pic:nvPicPr>
                    <pic:cNvPr id="10" name="image4.jpeg"/>
                    <pic:cNvPicPr/>
                  </pic:nvPicPr>
                  <pic:blipFill>
                    <a:blip r:embed="rId13" cstate="print"/>
                    <a:stretch>
                      <a:fillRect/>
                    </a:stretch>
                  </pic:blipFill>
                  <pic:spPr>
                    <a:xfrm>
                      <a:off x="0" y="0"/>
                      <a:ext cx="10143299" cy="4980336"/>
                    </a:xfrm>
                    <a:prstGeom prst="rect">
                      <a:avLst/>
                    </a:prstGeom>
                  </pic:spPr>
                </pic:pic>
              </a:graphicData>
            </a:graphic>
          </wp:inline>
        </w:drawing>
      </w:r>
      <w:r>
        <w:rPr>
          <w:sz w:val="20"/>
        </w:rPr>
      </w:r>
    </w:p>
    <w:p>
      <w:pPr>
        <w:spacing w:after="0"/>
        <w:rPr>
          <w:sz w:val="20"/>
        </w:rPr>
        <w:sectPr>
          <w:pgSz w:w="20160" w:h="12240" w:orient="landscape"/>
          <w:pgMar w:header="288" w:footer="728" w:top="1380" w:bottom="940" w:left="1320" w:right="1140"/>
        </w:sectPr>
      </w:pPr>
    </w:p>
    <w:p>
      <w:pPr>
        <w:pStyle w:val="Heading1"/>
      </w:pPr>
      <w:bookmarkStart w:name="Summary of Updates in this Release" w:id="13"/>
      <w:bookmarkEnd w:id="13"/>
      <w:r>
        <w:rPr/>
      </w:r>
      <w:bookmarkStart w:name="_bookmark7" w:id="14"/>
      <w:bookmarkEnd w:id="14"/>
      <w:r>
        <w:rPr/>
      </w:r>
      <w:r>
        <w:rPr>
          <w:color w:val="016699"/>
          <w:u w:val="single" w:color="016699"/>
        </w:rPr>
        <w:t>Summary</w:t>
      </w:r>
      <w:r>
        <w:rPr>
          <w:color w:val="016699"/>
          <w:spacing w:val="-4"/>
          <w:u w:val="single" w:color="016699"/>
        </w:rPr>
        <w:t> </w:t>
      </w:r>
      <w:r>
        <w:rPr>
          <w:color w:val="016699"/>
          <w:u w:val="single" w:color="016699"/>
        </w:rPr>
        <w:t>of</w:t>
      </w:r>
      <w:r>
        <w:rPr>
          <w:color w:val="016699"/>
          <w:spacing w:val="-1"/>
          <w:u w:val="single" w:color="016699"/>
        </w:rPr>
        <w:t> </w:t>
      </w:r>
      <w:r>
        <w:rPr>
          <w:color w:val="016699"/>
          <w:u w:val="single" w:color="016699"/>
        </w:rPr>
        <w:t>Updates</w:t>
      </w:r>
      <w:r>
        <w:rPr>
          <w:color w:val="016699"/>
          <w:spacing w:val="-2"/>
          <w:u w:val="single" w:color="016699"/>
        </w:rPr>
        <w:t> </w:t>
      </w:r>
      <w:r>
        <w:rPr>
          <w:color w:val="016699"/>
          <w:u w:val="single" w:color="016699"/>
        </w:rPr>
        <w:t>in</w:t>
      </w:r>
      <w:r>
        <w:rPr>
          <w:color w:val="016699"/>
          <w:spacing w:val="-2"/>
          <w:u w:val="single" w:color="016699"/>
        </w:rPr>
        <w:t> </w:t>
      </w:r>
      <w:r>
        <w:rPr>
          <w:color w:val="016699"/>
          <w:u w:val="single" w:color="016699"/>
        </w:rPr>
        <w:t>this</w:t>
      </w:r>
      <w:r>
        <w:rPr>
          <w:color w:val="016699"/>
          <w:spacing w:val="-2"/>
          <w:u w:val="single" w:color="016699"/>
        </w:rPr>
        <w:t> Release</w:t>
      </w:r>
    </w:p>
    <w:p>
      <w:pPr>
        <w:pStyle w:val="BodyText"/>
        <w:rPr>
          <w:sz w:val="20"/>
        </w:rPr>
      </w:pPr>
    </w:p>
    <w:p>
      <w:pPr>
        <w:pStyle w:val="BodyText"/>
        <w:spacing w:before="3"/>
        <w:rPr>
          <w:sz w:val="20"/>
        </w:rPr>
      </w:pP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50"/>
        <w:gridCol w:w="3330"/>
        <w:gridCol w:w="5760"/>
        <w:gridCol w:w="6840"/>
      </w:tblGrid>
      <w:tr>
        <w:trPr>
          <w:trHeight w:val="264" w:hRule="atLeast"/>
        </w:trPr>
        <w:tc>
          <w:tcPr>
            <w:tcW w:w="4680" w:type="dxa"/>
            <w:gridSpan w:val="2"/>
            <w:shd w:val="clear" w:color="auto" w:fill="043152"/>
          </w:tcPr>
          <w:p>
            <w:pPr>
              <w:pStyle w:val="TableParagraph"/>
              <w:spacing w:line="245" w:lineRule="exact"/>
              <w:ind w:left="1339"/>
              <w:rPr>
                <w:b/>
                <w:sz w:val="24"/>
              </w:rPr>
            </w:pPr>
            <w:r>
              <w:rPr>
                <w:b/>
                <w:color w:val="FFFFFF"/>
                <w:sz w:val="24"/>
              </w:rPr>
              <w:t>Function</w:t>
            </w:r>
            <w:r>
              <w:rPr>
                <w:b/>
                <w:color w:val="FFFFFF"/>
                <w:spacing w:val="-5"/>
                <w:sz w:val="24"/>
              </w:rPr>
              <w:t> </w:t>
            </w:r>
            <w:r>
              <w:rPr>
                <w:b/>
                <w:color w:val="FFFFFF"/>
                <w:spacing w:val="-2"/>
                <w:sz w:val="24"/>
              </w:rPr>
              <w:t>Changed</w:t>
            </w:r>
          </w:p>
        </w:tc>
        <w:tc>
          <w:tcPr>
            <w:tcW w:w="5760" w:type="dxa"/>
            <w:shd w:val="clear" w:color="auto" w:fill="043152"/>
          </w:tcPr>
          <w:p>
            <w:pPr>
              <w:pStyle w:val="TableParagraph"/>
              <w:spacing w:line="245" w:lineRule="exact"/>
              <w:ind w:left="113"/>
              <w:rPr>
                <w:b/>
                <w:sz w:val="24"/>
              </w:rPr>
            </w:pPr>
            <w:r>
              <w:rPr>
                <w:b/>
                <w:color w:val="FFFFFF"/>
                <w:sz w:val="24"/>
              </w:rPr>
              <w:t>Summary</w:t>
            </w:r>
            <w:r>
              <w:rPr>
                <w:b/>
                <w:color w:val="FFFFFF"/>
                <w:spacing w:val="-2"/>
                <w:sz w:val="24"/>
              </w:rPr>
              <w:t> </w:t>
            </w:r>
            <w:r>
              <w:rPr>
                <w:b/>
                <w:color w:val="FFFFFF"/>
                <w:sz w:val="24"/>
              </w:rPr>
              <w:t>of</w:t>
            </w:r>
            <w:r>
              <w:rPr>
                <w:b/>
                <w:color w:val="FFFFFF"/>
                <w:spacing w:val="-1"/>
                <w:sz w:val="24"/>
              </w:rPr>
              <w:t> </w:t>
            </w:r>
            <w:r>
              <w:rPr>
                <w:b/>
                <w:color w:val="FFFFFF"/>
                <w:spacing w:val="-2"/>
                <w:sz w:val="24"/>
              </w:rPr>
              <w:t>Change</w:t>
            </w:r>
          </w:p>
        </w:tc>
        <w:tc>
          <w:tcPr>
            <w:tcW w:w="6840" w:type="dxa"/>
            <w:shd w:val="clear" w:color="auto" w:fill="043152"/>
          </w:tcPr>
          <w:p>
            <w:pPr>
              <w:pStyle w:val="TableParagraph"/>
              <w:spacing w:line="245" w:lineRule="exact"/>
              <w:ind w:left="2922" w:right="2805"/>
              <w:jc w:val="center"/>
              <w:rPr>
                <w:b/>
                <w:sz w:val="24"/>
              </w:rPr>
            </w:pPr>
            <w:r>
              <w:rPr>
                <w:b/>
                <w:color w:val="FFFFFF"/>
                <w:spacing w:val="-2"/>
                <w:sz w:val="24"/>
              </w:rPr>
              <w:t>Rationale</w:t>
            </w:r>
          </w:p>
        </w:tc>
      </w:tr>
      <w:tr>
        <w:trPr>
          <w:trHeight w:val="551" w:hRule="atLeast"/>
        </w:trPr>
        <w:tc>
          <w:tcPr>
            <w:tcW w:w="1350" w:type="dxa"/>
          </w:tcPr>
          <w:p>
            <w:pPr>
              <w:pStyle w:val="TableParagraph"/>
              <w:ind w:left="4"/>
              <w:rPr>
                <w:sz w:val="24"/>
              </w:rPr>
            </w:pPr>
            <w:r>
              <w:rPr>
                <w:spacing w:val="-4"/>
                <w:sz w:val="24"/>
              </w:rPr>
              <w:t>2.1.1</w:t>
            </w:r>
          </w:p>
        </w:tc>
        <w:tc>
          <w:tcPr>
            <w:tcW w:w="3330" w:type="dxa"/>
          </w:tcPr>
          <w:p>
            <w:pPr>
              <w:pStyle w:val="TableParagraph"/>
              <w:ind w:left="4"/>
              <w:rPr>
                <w:sz w:val="24"/>
              </w:rPr>
            </w:pPr>
            <w:r>
              <w:rPr>
                <w:sz w:val="24"/>
              </w:rPr>
              <w:t>Recording</w:t>
            </w:r>
            <w:r>
              <w:rPr>
                <w:spacing w:val="-6"/>
                <w:sz w:val="24"/>
              </w:rPr>
              <w:t> </w:t>
            </w:r>
            <w:r>
              <w:rPr>
                <w:sz w:val="24"/>
              </w:rPr>
              <w:t>Budget</w:t>
            </w:r>
            <w:r>
              <w:rPr>
                <w:spacing w:val="-5"/>
                <w:sz w:val="24"/>
              </w:rPr>
              <w:t> </w:t>
            </w:r>
            <w:r>
              <w:rPr>
                <w:spacing w:val="-2"/>
                <w:sz w:val="24"/>
              </w:rPr>
              <w:t>Authority</w:t>
            </w:r>
          </w:p>
        </w:tc>
        <w:tc>
          <w:tcPr>
            <w:tcW w:w="5760" w:type="dxa"/>
          </w:tcPr>
          <w:p>
            <w:pPr>
              <w:pStyle w:val="TableParagraph"/>
              <w:ind w:left="4"/>
              <w:rPr>
                <w:sz w:val="24"/>
              </w:rPr>
            </w:pPr>
            <w:r>
              <w:rPr>
                <w:sz w:val="24"/>
              </w:rPr>
              <w:t>Clarified</w:t>
            </w:r>
            <w:r>
              <w:rPr>
                <w:spacing w:val="-5"/>
                <w:sz w:val="24"/>
              </w:rPr>
              <w:t> </w:t>
            </w:r>
            <w:r>
              <w:rPr>
                <w:sz w:val="24"/>
              </w:rPr>
              <w:t>agency</w:t>
            </w:r>
            <w:r>
              <w:rPr>
                <w:spacing w:val="-5"/>
                <w:sz w:val="24"/>
              </w:rPr>
              <w:t> </w:t>
            </w:r>
            <w:r>
              <w:rPr>
                <w:sz w:val="24"/>
              </w:rPr>
              <w:t>funding</w:t>
            </w:r>
            <w:r>
              <w:rPr>
                <w:spacing w:val="-5"/>
                <w:sz w:val="24"/>
              </w:rPr>
              <w:t> </w:t>
            </w:r>
            <w:r>
              <w:rPr>
                <w:sz w:val="24"/>
              </w:rPr>
              <w:t>information</w:t>
            </w:r>
            <w:r>
              <w:rPr>
                <w:spacing w:val="-4"/>
                <w:sz w:val="24"/>
              </w:rPr>
              <w:t> </w:t>
            </w:r>
            <w:r>
              <w:rPr>
                <w:spacing w:val="-2"/>
                <w:sz w:val="24"/>
              </w:rPr>
              <w:t>sources</w:t>
            </w:r>
          </w:p>
        </w:tc>
        <w:tc>
          <w:tcPr>
            <w:tcW w:w="6840" w:type="dxa"/>
          </w:tcPr>
          <w:p>
            <w:pPr>
              <w:pStyle w:val="TableParagraph"/>
              <w:ind w:left="4"/>
              <w:rPr>
                <w:sz w:val="24"/>
              </w:rPr>
            </w:pPr>
            <w:r>
              <w:rPr>
                <w:sz w:val="24"/>
              </w:rPr>
              <w:t>FM</w:t>
            </w:r>
            <w:r>
              <w:rPr>
                <w:spacing w:val="-4"/>
                <w:sz w:val="24"/>
              </w:rPr>
              <w:t> </w:t>
            </w:r>
            <w:r>
              <w:rPr>
                <w:sz w:val="24"/>
              </w:rPr>
              <w:t>QSMO</w:t>
            </w:r>
            <w:r>
              <w:rPr>
                <w:spacing w:val="-4"/>
                <w:sz w:val="24"/>
              </w:rPr>
              <w:t> </w:t>
            </w:r>
            <w:r>
              <w:rPr>
                <w:sz w:val="24"/>
              </w:rPr>
              <w:t>Marketplace</w:t>
            </w:r>
            <w:r>
              <w:rPr>
                <w:spacing w:val="-3"/>
                <w:sz w:val="24"/>
              </w:rPr>
              <w:t> </w:t>
            </w:r>
            <w:r>
              <w:rPr>
                <w:sz w:val="24"/>
              </w:rPr>
              <w:t>RFI</w:t>
            </w:r>
            <w:r>
              <w:rPr>
                <w:spacing w:val="-2"/>
                <w:sz w:val="24"/>
              </w:rPr>
              <w:t> </w:t>
            </w:r>
            <w:r>
              <w:rPr>
                <w:sz w:val="24"/>
              </w:rPr>
              <w:t>industry</w:t>
            </w:r>
            <w:r>
              <w:rPr>
                <w:spacing w:val="-4"/>
                <w:sz w:val="24"/>
              </w:rPr>
              <w:t> </w:t>
            </w:r>
            <w:r>
              <w:rPr>
                <w:sz w:val="24"/>
              </w:rPr>
              <w:t>request</w:t>
            </w:r>
            <w:r>
              <w:rPr>
                <w:spacing w:val="-4"/>
                <w:sz w:val="24"/>
              </w:rPr>
              <w:t> </w:t>
            </w:r>
            <w:r>
              <w:rPr>
                <w:sz w:val="24"/>
              </w:rPr>
              <w:t>for</w:t>
            </w:r>
            <w:r>
              <w:rPr>
                <w:spacing w:val="-2"/>
                <w:sz w:val="24"/>
              </w:rPr>
              <w:t> clarification</w:t>
            </w:r>
          </w:p>
        </w:tc>
      </w:tr>
      <w:tr>
        <w:trPr>
          <w:trHeight w:val="1103" w:hRule="atLeast"/>
        </w:trPr>
        <w:tc>
          <w:tcPr>
            <w:tcW w:w="1350" w:type="dxa"/>
          </w:tcPr>
          <w:p>
            <w:pPr>
              <w:pStyle w:val="TableParagraph"/>
              <w:ind w:left="4"/>
              <w:rPr>
                <w:sz w:val="24"/>
              </w:rPr>
            </w:pPr>
            <w:r>
              <w:rPr>
                <w:spacing w:val="-4"/>
                <w:sz w:val="24"/>
              </w:rPr>
              <w:t>2.1.3</w:t>
            </w:r>
          </w:p>
        </w:tc>
        <w:tc>
          <w:tcPr>
            <w:tcW w:w="3330" w:type="dxa"/>
          </w:tcPr>
          <w:p>
            <w:pPr>
              <w:pStyle w:val="TableParagraph"/>
              <w:ind w:left="4"/>
              <w:rPr>
                <w:sz w:val="24"/>
              </w:rPr>
            </w:pPr>
            <w:r>
              <w:rPr>
                <w:sz w:val="24"/>
              </w:rPr>
              <w:t>Reporting Budgetary Resources</w:t>
            </w:r>
            <w:r>
              <w:rPr>
                <w:spacing w:val="-17"/>
                <w:sz w:val="24"/>
              </w:rPr>
              <w:t> </w:t>
            </w:r>
            <w:r>
              <w:rPr>
                <w:sz w:val="24"/>
              </w:rPr>
              <w:t>and</w:t>
            </w:r>
            <w:r>
              <w:rPr>
                <w:spacing w:val="-17"/>
                <w:sz w:val="24"/>
              </w:rPr>
              <w:t> </w:t>
            </w:r>
            <w:r>
              <w:rPr>
                <w:sz w:val="24"/>
              </w:rPr>
              <w:t>Budget </w:t>
            </w:r>
            <w:r>
              <w:rPr>
                <w:spacing w:val="-2"/>
                <w:sz w:val="24"/>
              </w:rPr>
              <w:t>Execution</w:t>
            </w:r>
          </w:p>
        </w:tc>
        <w:tc>
          <w:tcPr>
            <w:tcW w:w="5760" w:type="dxa"/>
          </w:tcPr>
          <w:p>
            <w:pPr>
              <w:pStyle w:val="TableParagraph"/>
              <w:ind w:left="4"/>
              <w:rPr>
                <w:sz w:val="24"/>
              </w:rPr>
            </w:pPr>
            <w:r>
              <w:rPr>
                <w:sz w:val="24"/>
              </w:rPr>
              <w:t>Added</w:t>
            </w:r>
            <w:r>
              <w:rPr>
                <w:spacing w:val="-5"/>
                <w:sz w:val="24"/>
              </w:rPr>
              <w:t> </w:t>
            </w:r>
            <w:r>
              <w:rPr>
                <w:sz w:val="24"/>
              </w:rPr>
              <w:t>“review</w:t>
            </w:r>
            <w:r>
              <w:rPr>
                <w:spacing w:val="-5"/>
                <w:sz w:val="24"/>
              </w:rPr>
              <w:t> </w:t>
            </w:r>
            <w:r>
              <w:rPr>
                <w:sz w:val="24"/>
              </w:rPr>
              <w:t>and</w:t>
            </w:r>
            <w:r>
              <w:rPr>
                <w:spacing w:val="-5"/>
                <w:sz w:val="24"/>
              </w:rPr>
              <w:t> </w:t>
            </w:r>
            <w:r>
              <w:rPr>
                <w:sz w:val="24"/>
              </w:rPr>
              <w:t>approve”</w:t>
            </w:r>
            <w:r>
              <w:rPr>
                <w:spacing w:val="-5"/>
                <w:sz w:val="24"/>
              </w:rPr>
              <w:t> </w:t>
            </w:r>
            <w:r>
              <w:rPr>
                <w:sz w:val="24"/>
              </w:rPr>
              <w:t>and</w:t>
            </w:r>
            <w:r>
              <w:rPr>
                <w:spacing w:val="-5"/>
                <w:sz w:val="24"/>
              </w:rPr>
              <w:t> </w:t>
            </w:r>
            <w:r>
              <w:rPr>
                <w:sz w:val="24"/>
              </w:rPr>
              <w:t>reference</w:t>
            </w:r>
            <w:r>
              <w:rPr>
                <w:spacing w:val="-5"/>
                <w:sz w:val="24"/>
              </w:rPr>
              <w:t> </w:t>
            </w:r>
            <w:r>
              <w:rPr>
                <w:sz w:val="24"/>
              </w:rPr>
              <w:t>to</w:t>
            </w:r>
            <w:r>
              <w:rPr>
                <w:spacing w:val="-5"/>
                <w:sz w:val="24"/>
              </w:rPr>
              <w:t> </w:t>
            </w:r>
            <w:r>
              <w:rPr>
                <w:sz w:val="24"/>
              </w:rPr>
              <w:t>TFM</w:t>
            </w:r>
            <w:r>
              <w:rPr>
                <w:spacing w:val="-4"/>
                <w:sz w:val="24"/>
              </w:rPr>
              <w:t> </w:t>
            </w:r>
            <w:r>
              <w:rPr>
                <w:sz w:val="24"/>
              </w:rPr>
              <w:t>in requirement text</w:t>
            </w:r>
          </w:p>
        </w:tc>
        <w:tc>
          <w:tcPr>
            <w:tcW w:w="6840" w:type="dxa"/>
          </w:tcPr>
          <w:p>
            <w:pPr>
              <w:pStyle w:val="TableParagraph"/>
              <w:ind w:left="4"/>
              <w:rPr>
                <w:sz w:val="24"/>
              </w:rPr>
            </w:pPr>
            <w:r>
              <w:rPr>
                <w:sz w:val="24"/>
              </w:rPr>
              <w:t>FM</w:t>
            </w:r>
            <w:r>
              <w:rPr>
                <w:spacing w:val="-4"/>
                <w:sz w:val="24"/>
              </w:rPr>
              <w:t> </w:t>
            </w:r>
            <w:r>
              <w:rPr>
                <w:sz w:val="24"/>
              </w:rPr>
              <w:t>QSMO</w:t>
            </w:r>
            <w:r>
              <w:rPr>
                <w:spacing w:val="-4"/>
                <w:sz w:val="24"/>
              </w:rPr>
              <w:t> </w:t>
            </w:r>
            <w:r>
              <w:rPr>
                <w:sz w:val="24"/>
              </w:rPr>
              <w:t>Marketplace</w:t>
            </w:r>
            <w:r>
              <w:rPr>
                <w:spacing w:val="-3"/>
                <w:sz w:val="24"/>
              </w:rPr>
              <w:t> </w:t>
            </w:r>
            <w:r>
              <w:rPr>
                <w:sz w:val="24"/>
              </w:rPr>
              <w:t>RFI</w:t>
            </w:r>
            <w:r>
              <w:rPr>
                <w:spacing w:val="-2"/>
                <w:sz w:val="24"/>
              </w:rPr>
              <w:t> </w:t>
            </w:r>
            <w:r>
              <w:rPr>
                <w:sz w:val="24"/>
              </w:rPr>
              <w:t>industry</w:t>
            </w:r>
            <w:r>
              <w:rPr>
                <w:spacing w:val="-4"/>
                <w:sz w:val="24"/>
              </w:rPr>
              <w:t> </w:t>
            </w:r>
            <w:r>
              <w:rPr>
                <w:sz w:val="24"/>
              </w:rPr>
              <w:t>request</w:t>
            </w:r>
            <w:r>
              <w:rPr>
                <w:spacing w:val="-4"/>
                <w:sz w:val="24"/>
              </w:rPr>
              <w:t> </w:t>
            </w:r>
            <w:r>
              <w:rPr>
                <w:sz w:val="24"/>
              </w:rPr>
              <w:t>for</w:t>
            </w:r>
            <w:r>
              <w:rPr>
                <w:spacing w:val="-2"/>
                <w:sz w:val="24"/>
              </w:rPr>
              <w:t> clarification</w:t>
            </w:r>
          </w:p>
        </w:tc>
      </w:tr>
      <w:tr>
        <w:trPr>
          <w:trHeight w:val="828" w:hRule="atLeast"/>
        </w:trPr>
        <w:tc>
          <w:tcPr>
            <w:tcW w:w="1350" w:type="dxa"/>
          </w:tcPr>
          <w:p>
            <w:pPr>
              <w:pStyle w:val="TableParagraph"/>
              <w:ind w:left="4"/>
              <w:rPr>
                <w:sz w:val="24"/>
              </w:rPr>
            </w:pPr>
            <w:r>
              <w:rPr>
                <w:spacing w:val="-4"/>
                <w:sz w:val="24"/>
              </w:rPr>
              <w:t>2.2.1</w:t>
            </w:r>
          </w:p>
        </w:tc>
        <w:tc>
          <w:tcPr>
            <w:tcW w:w="3330" w:type="dxa"/>
          </w:tcPr>
          <w:p>
            <w:pPr>
              <w:pStyle w:val="TableParagraph"/>
              <w:ind w:left="4"/>
              <w:rPr>
                <w:sz w:val="24"/>
              </w:rPr>
            </w:pPr>
            <w:r>
              <w:rPr>
                <w:sz w:val="24"/>
              </w:rPr>
              <w:t>Establishing</w:t>
            </w:r>
            <w:r>
              <w:rPr>
                <w:spacing w:val="-6"/>
                <w:sz w:val="24"/>
              </w:rPr>
              <w:t> </w:t>
            </w:r>
            <w:r>
              <w:rPr>
                <w:spacing w:val="-2"/>
                <w:sz w:val="24"/>
              </w:rPr>
              <w:t>Payables</w:t>
            </w:r>
          </w:p>
        </w:tc>
        <w:tc>
          <w:tcPr>
            <w:tcW w:w="5760" w:type="dxa"/>
          </w:tcPr>
          <w:p>
            <w:pPr>
              <w:pStyle w:val="TableParagraph"/>
              <w:ind w:left="4"/>
              <w:rPr>
                <w:sz w:val="24"/>
              </w:rPr>
            </w:pPr>
            <w:r>
              <w:rPr>
                <w:sz w:val="24"/>
              </w:rPr>
              <w:t>Added</w:t>
            </w:r>
            <w:r>
              <w:rPr>
                <w:spacing w:val="-9"/>
                <w:sz w:val="24"/>
              </w:rPr>
              <w:t> </w:t>
            </w:r>
            <w:r>
              <w:rPr>
                <w:sz w:val="24"/>
              </w:rPr>
              <w:t>reference</w:t>
            </w:r>
            <w:r>
              <w:rPr>
                <w:spacing w:val="-9"/>
                <w:sz w:val="24"/>
              </w:rPr>
              <w:t> </w:t>
            </w:r>
            <w:r>
              <w:rPr>
                <w:sz w:val="24"/>
              </w:rPr>
              <w:t>to</w:t>
            </w:r>
            <w:r>
              <w:rPr>
                <w:spacing w:val="-9"/>
                <w:sz w:val="24"/>
              </w:rPr>
              <w:t> </w:t>
            </w:r>
            <w:r>
              <w:rPr>
                <w:sz w:val="24"/>
              </w:rPr>
              <w:t>FAR</w:t>
            </w:r>
            <w:r>
              <w:rPr>
                <w:spacing w:val="-9"/>
                <w:sz w:val="24"/>
              </w:rPr>
              <w:t> </w:t>
            </w:r>
            <w:r>
              <w:rPr>
                <w:sz w:val="24"/>
              </w:rPr>
              <w:t>32.905,</w:t>
            </w:r>
            <w:r>
              <w:rPr>
                <w:spacing w:val="-7"/>
                <w:sz w:val="24"/>
              </w:rPr>
              <w:t> </w:t>
            </w:r>
            <w:r>
              <w:rPr>
                <w:sz w:val="24"/>
              </w:rPr>
              <w:t>Payment Documentation and Process</w:t>
            </w:r>
          </w:p>
        </w:tc>
        <w:tc>
          <w:tcPr>
            <w:tcW w:w="6840" w:type="dxa"/>
          </w:tcPr>
          <w:p>
            <w:pPr>
              <w:pStyle w:val="TableParagraph"/>
              <w:ind w:left="4"/>
              <w:rPr>
                <w:sz w:val="24"/>
              </w:rPr>
            </w:pPr>
            <w:r>
              <w:rPr>
                <w:sz w:val="24"/>
              </w:rPr>
              <w:t>FM</w:t>
            </w:r>
            <w:r>
              <w:rPr>
                <w:spacing w:val="-4"/>
                <w:sz w:val="24"/>
              </w:rPr>
              <w:t> </w:t>
            </w:r>
            <w:r>
              <w:rPr>
                <w:sz w:val="24"/>
              </w:rPr>
              <w:t>QSMO</w:t>
            </w:r>
            <w:r>
              <w:rPr>
                <w:spacing w:val="-4"/>
                <w:sz w:val="24"/>
              </w:rPr>
              <w:t> </w:t>
            </w:r>
            <w:r>
              <w:rPr>
                <w:sz w:val="24"/>
              </w:rPr>
              <w:t>Marketplace</w:t>
            </w:r>
            <w:r>
              <w:rPr>
                <w:spacing w:val="-3"/>
                <w:sz w:val="24"/>
              </w:rPr>
              <w:t> </w:t>
            </w:r>
            <w:r>
              <w:rPr>
                <w:sz w:val="24"/>
              </w:rPr>
              <w:t>RFI</w:t>
            </w:r>
            <w:r>
              <w:rPr>
                <w:spacing w:val="-2"/>
                <w:sz w:val="24"/>
              </w:rPr>
              <w:t> </w:t>
            </w:r>
            <w:r>
              <w:rPr>
                <w:sz w:val="24"/>
              </w:rPr>
              <w:t>industry</w:t>
            </w:r>
            <w:r>
              <w:rPr>
                <w:spacing w:val="-4"/>
                <w:sz w:val="24"/>
              </w:rPr>
              <w:t> </w:t>
            </w:r>
            <w:r>
              <w:rPr>
                <w:sz w:val="24"/>
              </w:rPr>
              <w:t>request</w:t>
            </w:r>
            <w:r>
              <w:rPr>
                <w:spacing w:val="-4"/>
                <w:sz w:val="24"/>
              </w:rPr>
              <w:t> </w:t>
            </w:r>
            <w:r>
              <w:rPr>
                <w:sz w:val="24"/>
              </w:rPr>
              <w:t>for</w:t>
            </w:r>
            <w:r>
              <w:rPr>
                <w:spacing w:val="-2"/>
                <w:sz w:val="24"/>
              </w:rPr>
              <w:t> clarification</w:t>
            </w:r>
          </w:p>
        </w:tc>
      </w:tr>
    </w:tbl>
    <w:p>
      <w:pPr>
        <w:spacing w:after="0"/>
        <w:rPr>
          <w:sz w:val="24"/>
        </w:rPr>
        <w:sectPr>
          <w:pgSz w:w="20160" w:h="12240" w:orient="landscape"/>
          <w:pgMar w:header="288" w:footer="728" w:top="1380" w:bottom="940" w:left="1320" w:right="1140"/>
        </w:sectPr>
      </w:pPr>
    </w:p>
    <w:p>
      <w:pPr>
        <w:pStyle w:val="BodyText"/>
        <w:spacing w:before="4"/>
        <w:rPr>
          <w:sz w:val="2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ind w:left="0"/>
              <w:rPr>
                <w:sz w:val="35"/>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3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ind w:left="0"/>
              <w:rPr>
                <w:sz w:val="35"/>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6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ind w:left="0"/>
              <w:rPr>
                <w:sz w:val="35"/>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ind w:left="0"/>
              <w:rPr>
                <w:sz w:val="35"/>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980" w:hRule="atLeast"/>
        </w:trPr>
        <w:tc>
          <w:tcPr>
            <w:tcW w:w="1525" w:type="dxa"/>
            <w:vMerge w:val="restart"/>
          </w:tcPr>
          <w:p>
            <w:pPr>
              <w:pStyle w:val="TableParagraph"/>
              <w:spacing w:line="253" w:lineRule="exact"/>
              <w:ind w:left="107"/>
              <w:rPr>
                <w:sz w:val="24"/>
              </w:rPr>
            </w:pPr>
            <w:r>
              <w:rPr>
                <w:spacing w:val="-4"/>
                <w:sz w:val="24"/>
              </w:rPr>
              <w:t>1.1.1</w:t>
            </w:r>
          </w:p>
        </w:tc>
        <w:tc>
          <w:tcPr>
            <w:tcW w:w="1761" w:type="dxa"/>
            <w:vMerge w:val="restart"/>
          </w:tcPr>
          <w:p>
            <w:pPr>
              <w:pStyle w:val="TableParagraph"/>
              <w:spacing w:line="216" w:lineRule="auto"/>
              <w:ind w:left="108" w:right="185"/>
              <w:rPr>
                <w:sz w:val="24"/>
              </w:rPr>
            </w:pPr>
            <w:r>
              <w:rPr>
                <w:sz w:val="24"/>
              </w:rPr>
              <w:t>Defining GL Accounts</w:t>
            </w:r>
            <w:r>
              <w:rPr>
                <w:spacing w:val="-17"/>
                <w:sz w:val="24"/>
              </w:rPr>
              <w:t> </w:t>
            </w:r>
            <w:r>
              <w:rPr>
                <w:sz w:val="24"/>
              </w:rPr>
              <w:t>and </w:t>
            </w:r>
            <w:r>
              <w:rPr>
                <w:spacing w:val="-2"/>
                <w:sz w:val="24"/>
              </w:rPr>
              <w:t>Attributes</w:t>
            </w:r>
          </w:p>
        </w:tc>
        <w:tc>
          <w:tcPr>
            <w:tcW w:w="1984" w:type="dxa"/>
          </w:tcPr>
          <w:p>
            <w:pPr>
              <w:pStyle w:val="TableParagraph"/>
              <w:spacing w:line="253" w:lineRule="exact"/>
              <w:ind w:left="107"/>
              <w:rPr>
                <w:sz w:val="24"/>
              </w:rPr>
            </w:pPr>
            <w:r>
              <w:rPr>
                <w:spacing w:val="-2"/>
                <w:sz w:val="24"/>
              </w:rPr>
              <w:t>1.1.1.1</w:t>
            </w:r>
          </w:p>
        </w:tc>
        <w:tc>
          <w:tcPr>
            <w:tcW w:w="1534" w:type="dxa"/>
          </w:tcPr>
          <w:p>
            <w:pPr>
              <w:pStyle w:val="TableParagraph"/>
              <w:spacing w:line="253" w:lineRule="exact"/>
              <w:ind w:left="109"/>
              <w:rPr>
                <w:sz w:val="24"/>
              </w:rPr>
            </w:pPr>
            <w:r>
              <w:rPr>
                <w:spacing w:val="-5"/>
                <w:sz w:val="24"/>
              </w:rPr>
              <w:t>DI</w:t>
            </w:r>
          </w:p>
        </w:tc>
        <w:tc>
          <w:tcPr>
            <w:tcW w:w="3834" w:type="dxa"/>
          </w:tcPr>
          <w:p>
            <w:pPr>
              <w:pStyle w:val="TableParagraph"/>
              <w:spacing w:line="248" w:lineRule="exact"/>
              <w:ind w:left="110" w:right="145"/>
              <w:rPr>
                <w:sz w:val="24"/>
              </w:rPr>
            </w:pPr>
            <w:r>
              <w:rPr>
                <w:sz w:val="24"/>
              </w:rPr>
              <w:t>Provide GL account classifications (for example, budgetary, assets, liabilities, revenues, and expenses), account</w:t>
            </w:r>
            <w:r>
              <w:rPr>
                <w:spacing w:val="-14"/>
                <w:sz w:val="24"/>
              </w:rPr>
              <w:t> </w:t>
            </w:r>
            <w:r>
              <w:rPr>
                <w:sz w:val="24"/>
              </w:rPr>
              <w:t>categories</w:t>
            </w:r>
            <w:r>
              <w:rPr>
                <w:spacing w:val="-14"/>
                <w:sz w:val="24"/>
              </w:rPr>
              <w:t> </w:t>
            </w:r>
            <w:r>
              <w:rPr>
                <w:sz w:val="24"/>
              </w:rPr>
              <w:t>(for</w:t>
            </w:r>
            <w:r>
              <w:rPr>
                <w:spacing w:val="-14"/>
                <w:sz w:val="24"/>
              </w:rPr>
              <w:t> </w:t>
            </w:r>
            <w:r>
              <w:rPr>
                <w:sz w:val="24"/>
              </w:rPr>
              <w:t>example, receivables), and account subcategories (for example, accounts receivable) consistent with the United States Standard General Ledger (USSGL) accounts</w:t>
            </w:r>
            <w:r>
              <w:rPr>
                <w:spacing w:val="-11"/>
                <w:sz w:val="24"/>
              </w:rPr>
              <w:t> </w:t>
            </w:r>
            <w:r>
              <w:rPr>
                <w:sz w:val="24"/>
              </w:rPr>
              <w:t>defined</w:t>
            </w:r>
            <w:r>
              <w:rPr>
                <w:spacing w:val="-11"/>
                <w:sz w:val="24"/>
              </w:rPr>
              <w:t> </w:t>
            </w:r>
            <w:r>
              <w:rPr>
                <w:sz w:val="24"/>
              </w:rPr>
              <w:t>in</w:t>
            </w:r>
            <w:r>
              <w:rPr>
                <w:spacing w:val="-11"/>
                <w:sz w:val="24"/>
              </w:rPr>
              <w:t> </w:t>
            </w:r>
            <w:r>
              <w:rPr>
                <w:sz w:val="24"/>
              </w:rPr>
              <w:t>the</w:t>
            </w:r>
            <w:r>
              <w:rPr>
                <w:spacing w:val="-11"/>
                <w:sz w:val="24"/>
              </w:rPr>
              <w:t> </w:t>
            </w:r>
            <w:r>
              <w:rPr>
                <w:sz w:val="24"/>
              </w:rPr>
              <w:t>Treasury Financial Manual (TFM).</w:t>
            </w:r>
          </w:p>
        </w:tc>
        <w:tc>
          <w:tcPr>
            <w:tcW w:w="6628" w:type="dxa"/>
          </w:tcPr>
          <w:p>
            <w:pPr>
              <w:pStyle w:val="TableParagraph"/>
              <w:numPr>
                <w:ilvl w:val="0"/>
                <w:numId w:val="2"/>
              </w:numPr>
              <w:tabs>
                <w:tab w:pos="328" w:val="left" w:leader="none"/>
              </w:tabs>
              <w:spacing w:line="216" w:lineRule="auto" w:before="1" w:after="0"/>
              <w:ind w:left="327" w:right="632" w:hanging="216"/>
              <w:jc w:val="left"/>
              <w:rPr>
                <w:sz w:val="24"/>
              </w:rPr>
            </w:pPr>
            <w:hyperlink r:id="rId14">
              <w:r>
                <w:rPr>
                  <w:color w:val="0000FF"/>
                  <w:sz w:val="24"/>
                </w:rPr>
                <w:t>USSGL</w:t>
              </w:r>
            </w:hyperlink>
            <w:r>
              <w:rPr>
                <w:sz w:val="24"/>
              </w:rPr>
              <w:t>,</w:t>
            </w:r>
            <w:r>
              <w:rPr>
                <w:spacing w:val="-5"/>
                <w:sz w:val="24"/>
              </w:rPr>
              <w:t> </w:t>
            </w:r>
            <w:r>
              <w:rPr>
                <w:sz w:val="24"/>
              </w:rPr>
              <w:t>Section</w:t>
            </w:r>
            <w:r>
              <w:rPr>
                <w:spacing w:val="-6"/>
                <w:sz w:val="24"/>
              </w:rPr>
              <w:t> </w:t>
            </w:r>
            <w:r>
              <w:rPr>
                <w:sz w:val="24"/>
              </w:rPr>
              <w:t>I:</w:t>
            </w:r>
            <w:r>
              <w:rPr>
                <w:spacing w:val="-5"/>
                <w:sz w:val="24"/>
              </w:rPr>
              <w:t> </w:t>
            </w:r>
            <w:r>
              <w:rPr>
                <w:sz w:val="24"/>
              </w:rPr>
              <w:t>Chart</w:t>
            </w:r>
            <w:r>
              <w:rPr>
                <w:spacing w:val="-5"/>
                <w:sz w:val="24"/>
              </w:rPr>
              <w:t> </w:t>
            </w:r>
            <w:r>
              <w:rPr>
                <w:sz w:val="24"/>
              </w:rPr>
              <w:t>of</w:t>
            </w:r>
            <w:r>
              <w:rPr>
                <w:spacing w:val="-7"/>
                <w:sz w:val="24"/>
              </w:rPr>
              <w:t> </w:t>
            </w:r>
            <w:r>
              <w:rPr>
                <w:sz w:val="24"/>
              </w:rPr>
              <w:t>Accounts</w:t>
            </w:r>
            <w:r>
              <w:rPr>
                <w:spacing w:val="-6"/>
                <w:sz w:val="24"/>
              </w:rPr>
              <w:t> </w:t>
            </w:r>
            <w:r>
              <w:rPr>
                <w:sz w:val="24"/>
              </w:rPr>
              <w:t>(includes</w:t>
            </w:r>
            <w:r>
              <w:rPr>
                <w:spacing w:val="-6"/>
                <w:sz w:val="24"/>
              </w:rPr>
              <w:t> </w:t>
            </w:r>
            <w:r>
              <w:rPr>
                <w:sz w:val="24"/>
              </w:rPr>
              <w:t>Cover </w:t>
            </w:r>
            <w:r>
              <w:rPr>
                <w:spacing w:val="-2"/>
                <w:sz w:val="24"/>
              </w:rPr>
              <w:t>Page);</w:t>
            </w:r>
          </w:p>
          <w:p>
            <w:pPr>
              <w:pStyle w:val="TableParagraph"/>
              <w:numPr>
                <w:ilvl w:val="0"/>
                <w:numId w:val="2"/>
              </w:numPr>
              <w:tabs>
                <w:tab w:pos="328" w:val="left" w:leader="none"/>
              </w:tabs>
              <w:spacing w:line="213" w:lineRule="auto" w:before="3" w:after="0"/>
              <w:ind w:left="327" w:right="540" w:hanging="216"/>
              <w:jc w:val="left"/>
              <w:rPr>
                <w:sz w:val="24"/>
              </w:rPr>
            </w:pPr>
            <w:hyperlink r:id="rId14">
              <w:r>
                <w:rPr>
                  <w:color w:val="0000FF"/>
                  <w:sz w:val="24"/>
                </w:rPr>
                <w:t>USSGL</w:t>
              </w:r>
            </w:hyperlink>
            <w:r>
              <w:rPr>
                <w:sz w:val="24"/>
              </w:rPr>
              <w:t>,</w:t>
            </w:r>
            <w:r>
              <w:rPr>
                <w:spacing w:val="-6"/>
                <w:sz w:val="24"/>
              </w:rPr>
              <w:t> </w:t>
            </w:r>
            <w:r>
              <w:rPr>
                <w:sz w:val="24"/>
              </w:rPr>
              <w:t>Section</w:t>
            </w:r>
            <w:r>
              <w:rPr>
                <w:spacing w:val="-7"/>
                <w:sz w:val="24"/>
              </w:rPr>
              <w:t> </w:t>
            </w:r>
            <w:r>
              <w:rPr>
                <w:sz w:val="24"/>
              </w:rPr>
              <w:t>II:</w:t>
            </w:r>
            <w:r>
              <w:rPr>
                <w:spacing w:val="-8"/>
                <w:sz w:val="24"/>
              </w:rPr>
              <w:t> </w:t>
            </w:r>
            <w:r>
              <w:rPr>
                <w:sz w:val="24"/>
              </w:rPr>
              <w:t>Accounts</w:t>
            </w:r>
            <w:r>
              <w:rPr>
                <w:spacing w:val="-7"/>
                <w:sz w:val="24"/>
              </w:rPr>
              <w:t> </w:t>
            </w:r>
            <w:r>
              <w:rPr>
                <w:sz w:val="24"/>
              </w:rPr>
              <w:t>and</w:t>
            </w:r>
            <w:r>
              <w:rPr>
                <w:spacing w:val="-7"/>
                <w:sz w:val="24"/>
              </w:rPr>
              <w:t> </w:t>
            </w:r>
            <w:r>
              <w:rPr>
                <w:sz w:val="24"/>
              </w:rPr>
              <w:t>Definitions</w:t>
            </w:r>
            <w:r>
              <w:rPr>
                <w:spacing w:val="-7"/>
                <w:sz w:val="24"/>
              </w:rPr>
              <w:t> </w:t>
            </w:r>
            <w:r>
              <w:rPr>
                <w:sz w:val="24"/>
              </w:rPr>
              <w:t>(includes Cover Page);</w:t>
            </w:r>
          </w:p>
          <w:p>
            <w:pPr>
              <w:pStyle w:val="TableParagraph"/>
              <w:numPr>
                <w:ilvl w:val="0"/>
                <w:numId w:val="2"/>
              </w:numPr>
              <w:tabs>
                <w:tab w:pos="328" w:val="left" w:leader="none"/>
              </w:tabs>
              <w:spacing w:line="216" w:lineRule="auto" w:before="2"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r>
        <w:trPr>
          <w:trHeight w:val="1986"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55" w:lineRule="exact"/>
              <w:ind w:left="107"/>
              <w:rPr>
                <w:sz w:val="24"/>
              </w:rPr>
            </w:pPr>
            <w:r>
              <w:rPr>
                <w:spacing w:val="-2"/>
                <w:sz w:val="24"/>
              </w:rPr>
              <w:t>1.1.1.2</w:t>
            </w:r>
          </w:p>
        </w:tc>
        <w:tc>
          <w:tcPr>
            <w:tcW w:w="1534" w:type="dxa"/>
          </w:tcPr>
          <w:p>
            <w:pPr>
              <w:pStyle w:val="TableParagraph"/>
              <w:spacing w:line="255" w:lineRule="exact"/>
              <w:ind w:left="109"/>
              <w:rPr>
                <w:sz w:val="24"/>
              </w:rPr>
            </w:pPr>
            <w:r>
              <w:rPr>
                <w:spacing w:val="-5"/>
                <w:sz w:val="24"/>
              </w:rPr>
              <w:t>DI</w:t>
            </w:r>
          </w:p>
        </w:tc>
        <w:tc>
          <w:tcPr>
            <w:tcW w:w="3834" w:type="dxa"/>
          </w:tcPr>
          <w:p>
            <w:pPr>
              <w:pStyle w:val="TableParagraph"/>
              <w:spacing w:line="216" w:lineRule="auto" w:before="1"/>
              <w:ind w:left="110" w:right="257"/>
              <w:rPr>
                <w:sz w:val="24"/>
              </w:rPr>
            </w:pPr>
            <w:r>
              <w:rPr>
                <w:sz w:val="24"/>
              </w:rPr>
              <w:t>Provide GL proprietary account attributes (for example, </w:t>
            </w:r>
            <w:r>
              <w:rPr>
                <w:spacing w:val="-2"/>
                <w:sz w:val="24"/>
              </w:rPr>
              <w:t>exchange/non-exchange </w:t>
            </w:r>
            <w:r>
              <w:rPr>
                <w:sz w:val="24"/>
              </w:rPr>
              <w:t>indicator, federal/non-federal indicator,</w:t>
            </w:r>
            <w:r>
              <w:rPr>
                <w:spacing w:val="-13"/>
                <w:sz w:val="24"/>
              </w:rPr>
              <w:t> </w:t>
            </w:r>
            <w:r>
              <w:rPr>
                <w:sz w:val="24"/>
              </w:rPr>
              <w:t>and</w:t>
            </w:r>
            <w:r>
              <w:rPr>
                <w:spacing w:val="-14"/>
                <w:sz w:val="24"/>
              </w:rPr>
              <w:t> </w:t>
            </w:r>
            <w:r>
              <w:rPr>
                <w:sz w:val="24"/>
              </w:rPr>
              <w:t>program</w:t>
            </w:r>
            <w:r>
              <w:rPr>
                <w:spacing w:val="-14"/>
                <w:sz w:val="24"/>
              </w:rPr>
              <w:t> </w:t>
            </w:r>
            <w:r>
              <w:rPr>
                <w:sz w:val="24"/>
              </w:rPr>
              <w:t>indicator) consistent with the USSGL</w:t>
            </w:r>
          </w:p>
          <w:p>
            <w:pPr>
              <w:pStyle w:val="TableParagraph"/>
              <w:spacing w:line="248" w:lineRule="exact"/>
              <w:ind w:left="110" w:right="145"/>
              <w:rPr>
                <w:sz w:val="24"/>
              </w:rPr>
            </w:pPr>
            <w:r>
              <w:rPr>
                <w:sz w:val="24"/>
              </w:rPr>
              <w:t>account</w:t>
            </w:r>
            <w:r>
              <w:rPr>
                <w:spacing w:val="-10"/>
                <w:sz w:val="24"/>
              </w:rPr>
              <w:t> </w:t>
            </w:r>
            <w:r>
              <w:rPr>
                <w:sz w:val="24"/>
              </w:rPr>
              <w:t>attributes</w:t>
            </w:r>
            <w:r>
              <w:rPr>
                <w:spacing w:val="-10"/>
                <w:sz w:val="24"/>
              </w:rPr>
              <w:t> </w:t>
            </w:r>
            <w:r>
              <w:rPr>
                <w:sz w:val="24"/>
              </w:rPr>
              <w:t>defined</w:t>
            </w:r>
            <w:r>
              <w:rPr>
                <w:spacing w:val="-10"/>
                <w:sz w:val="24"/>
              </w:rPr>
              <w:t> </w:t>
            </w:r>
            <w:r>
              <w:rPr>
                <w:sz w:val="24"/>
              </w:rPr>
              <w:t>in</w:t>
            </w:r>
            <w:r>
              <w:rPr>
                <w:spacing w:val="-10"/>
                <w:sz w:val="24"/>
              </w:rPr>
              <w:t> </w:t>
            </w:r>
            <w:r>
              <w:rPr>
                <w:sz w:val="24"/>
              </w:rPr>
              <w:t>the </w:t>
            </w:r>
            <w:r>
              <w:rPr>
                <w:spacing w:val="-4"/>
                <w:sz w:val="24"/>
              </w:rPr>
              <w:t>TFM.</w:t>
            </w:r>
          </w:p>
        </w:tc>
        <w:tc>
          <w:tcPr>
            <w:tcW w:w="6628" w:type="dxa"/>
          </w:tcPr>
          <w:p>
            <w:pPr>
              <w:pStyle w:val="TableParagraph"/>
              <w:numPr>
                <w:ilvl w:val="0"/>
                <w:numId w:val="3"/>
              </w:numPr>
              <w:tabs>
                <w:tab w:pos="328" w:val="left" w:leader="none"/>
              </w:tabs>
              <w:spacing w:line="213" w:lineRule="auto" w:before="4" w:after="0"/>
              <w:ind w:left="327" w:right="452" w:hanging="216"/>
              <w:jc w:val="left"/>
              <w:rPr>
                <w:sz w:val="24"/>
              </w:rPr>
            </w:pPr>
            <w:hyperlink r:id="rId14">
              <w:r>
                <w:rPr>
                  <w:color w:val="0000FF"/>
                  <w:sz w:val="24"/>
                </w:rPr>
                <w:t>USSGL</w:t>
              </w:r>
            </w:hyperlink>
            <w:r>
              <w:rPr>
                <w:sz w:val="24"/>
              </w:rPr>
              <w:t>, Section IV: Account Attributes for USSGL Proprietary</w:t>
            </w:r>
            <w:r>
              <w:rPr>
                <w:spacing w:val="-9"/>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3"/>
                <w:sz w:val="24"/>
              </w:rPr>
              <w:t> </w:t>
            </w:r>
            <w:r>
              <w:rPr>
                <w:sz w:val="24"/>
              </w:rPr>
              <w:t>Reporting;</w:t>
            </w:r>
          </w:p>
          <w:p>
            <w:pPr>
              <w:pStyle w:val="TableParagraph"/>
              <w:numPr>
                <w:ilvl w:val="0"/>
                <w:numId w:val="3"/>
              </w:numPr>
              <w:tabs>
                <w:tab w:pos="328" w:val="left" w:leader="none"/>
              </w:tabs>
              <w:spacing w:line="213" w:lineRule="auto" w:before="5"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r>
        <w:trPr>
          <w:trHeight w:val="1987"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54" w:lineRule="exact"/>
              <w:ind w:left="107"/>
              <w:rPr>
                <w:sz w:val="24"/>
              </w:rPr>
            </w:pPr>
            <w:r>
              <w:rPr>
                <w:spacing w:val="-2"/>
                <w:sz w:val="24"/>
              </w:rPr>
              <w:t>1.1.1.3</w:t>
            </w:r>
          </w:p>
        </w:tc>
        <w:tc>
          <w:tcPr>
            <w:tcW w:w="1534" w:type="dxa"/>
          </w:tcPr>
          <w:p>
            <w:pPr>
              <w:pStyle w:val="TableParagraph"/>
              <w:spacing w:line="254" w:lineRule="exact"/>
              <w:ind w:left="109"/>
              <w:rPr>
                <w:sz w:val="24"/>
              </w:rPr>
            </w:pPr>
            <w:r>
              <w:rPr>
                <w:spacing w:val="-5"/>
                <w:sz w:val="24"/>
              </w:rPr>
              <w:t>DI</w:t>
            </w:r>
          </w:p>
        </w:tc>
        <w:tc>
          <w:tcPr>
            <w:tcW w:w="3834" w:type="dxa"/>
          </w:tcPr>
          <w:p>
            <w:pPr>
              <w:pStyle w:val="TableParagraph"/>
              <w:spacing w:line="248" w:lineRule="exact"/>
              <w:ind w:left="110" w:right="96"/>
              <w:rPr>
                <w:sz w:val="24"/>
              </w:rPr>
            </w:pPr>
            <w:r>
              <w:rPr>
                <w:sz w:val="24"/>
              </w:rPr>
              <w:t>Provide GL budgetary account attributes (for example, Default Budget Enforcement Act Category, Apportionment Category B Program Code, Authority Type Code) consistent with</w:t>
            </w:r>
            <w:r>
              <w:rPr>
                <w:spacing w:val="-10"/>
                <w:sz w:val="24"/>
              </w:rPr>
              <w:t> </w:t>
            </w:r>
            <w:r>
              <w:rPr>
                <w:sz w:val="24"/>
              </w:rPr>
              <w:t>the</w:t>
            </w:r>
            <w:r>
              <w:rPr>
                <w:spacing w:val="-10"/>
                <w:sz w:val="24"/>
              </w:rPr>
              <w:t> </w:t>
            </w:r>
            <w:r>
              <w:rPr>
                <w:sz w:val="24"/>
              </w:rPr>
              <w:t>USSGL</w:t>
            </w:r>
            <w:r>
              <w:rPr>
                <w:spacing w:val="-10"/>
                <w:sz w:val="24"/>
              </w:rPr>
              <w:t> </w:t>
            </w:r>
            <w:r>
              <w:rPr>
                <w:sz w:val="24"/>
              </w:rPr>
              <w:t>attributes</w:t>
            </w:r>
            <w:r>
              <w:rPr>
                <w:spacing w:val="-10"/>
                <w:sz w:val="24"/>
              </w:rPr>
              <w:t> </w:t>
            </w:r>
            <w:r>
              <w:rPr>
                <w:sz w:val="24"/>
              </w:rPr>
              <w:t>defined in the TFM.</w:t>
            </w:r>
          </w:p>
        </w:tc>
        <w:tc>
          <w:tcPr>
            <w:tcW w:w="6628" w:type="dxa"/>
          </w:tcPr>
          <w:p>
            <w:pPr>
              <w:pStyle w:val="TableParagraph"/>
              <w:numPr>
                <w:ilvl w:val="0"/>
                <w:numId w:val="4"/>
              </w:numPr>
              <w:tabs>
                <w:tab w:pos="328" w:val="left" w:leader="none"/>
              </w:tabs>
              <w:spacing w:line="213" w:lineRule="auto" w:before="4" w:after="0"/>
              <w:ind w:left="327" w:right="452" w:hanging="216"/>
              <w:jc w:val="left"/>
              <w:rPr>
                <w:sz w:val="24"/>
              </w:rPr>
            </w:pPr>
            <w:hyperlink r:id="rId14">
              <w:r>
                <w:rPr>
                  <w:color w:val="0000FF"/>
                  <w:sz w:val="24"/>
                </w:rPr>
                <w:t>USSGL</w:t>
              </w:r>
            </w:hyperlink>
            <w:r>
              <w:rPr>
                <w:sz w:val="24"/>
              </w:rPr>
              <w:t>, Section IV: Account Attributes for USSGL Proprietary</w:t>
            </w:r>
            <w:r>
              <w:rPr>
                <w:spacing w:val="-9"/>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3"/>
                <w:sz w:val="24"/>
              </w:rPr>
              <w:t> </w:t>
            </w:r>
            <w:r>
              <w:rPr>
                <w:sz w:val="24"/>
              </w:rPr>
              <w:t>Reporting;</w:t>
            </w:r>
          </w:p>
          <w:p>
            <w:pPr>
              <w:pStyle w:val="TableParagraph"/>
              <w:numPr>
                <w:ilvl w:val="0"/>
                <w:numId w:val="4"/>
              </w:numPr>
              <w:tabs>
                <w:tab w:pos="328" w:val="left" w:leader="none"/>
              </w:tabs>
              <w:spacing w:line="216" w:lineRule="auto" w:before="3"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bl>
    <w:p>
      <w:pPr>
        <w:spacing w:after="0" w:line="216" w:lineRule="auto"/>
        <w:jc w:val="left"/>
        <w:rPr>
          <w:sz w:val="24"/>
        </w:rPr>
        <w:sectPr>
          <w:pgSz w:w="20160" w:h="12240" w:orient="landscape"/>
          <w:pgMar w:header="288" w:footer="728" w:top="1380" w:bottom="1602"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3228" w:hRule="atLeast"/>
        </w:trPr>
        <w:tc>
          <w:tcPr>
            <w:tcW w:w="1525" w:type="dxa"/>
            <w:vMerge w:val="restart"/>
          </w:tcPr>
          <w:p>
            <w:pPr>
              <w:pStyle w:val="TableParagraph"/>
              <w:spacing w:line="244" w:lineRule="exact"/>
              <w:ind w:left="107"/>
              <w:rPr>
                <w:sz w:val="24"/>
              </w:rPr>
            </w:pPr>
            <w:r>
              <w:rPr>
                <w:spacing w:val="-4"/>
                <w:sz w:val="24"/>
              </w:rPr>
              <w:t>1.1.2</w:t>
            </w:r>
          </w:p>
        </w:tc>
        <w:tc>
          <w:tcPr>
            <w:tcW w:w="1761" w:type="dxa"/>
            <w:vMerge w:val="restart"/>
          </w:tcPr>
          <w:p>
            <w:pPr>
              <w:pStyle w:val="TableParagraph"/>
              <w:spacing w:line="216" w:lineRule="auto"/>
              <w:ind w:left="108" w:right="185"/>
              <w:rPr>
                <w:sz w:val="24"/>
              </w:rPr>
            </w:pPr>
            <w:r>
              <w:rPr>
                <w:sz w:val="24"/>
              </w:rPr>
              <w:t>Posting GL </w:t>
            </w:r>
            <w:r>
              <w:rPr>
                <w:spacing w:val="-2"/>
                <w:sz w:val="24"/>
              </w:rPr>
              <w:t>Transactions</w:t>
            </w:r>
          </w:p>
        </w:tc>
        <w:tc>
          <w:tcPr>
            <w:tcW w:w="1984" w:type="dxa"/>
          </w:tcPr>
          <w:p>
            <w:pPr>
              <w:pStyle w:val="TableParagraph"/>
              <w:spacing w:line="244" w:lineRule="exact"/>
              <w:ind w:left="107"/>
              <w:rPr>
                <w:sz w:val="24"/>
              </w:rPr>
            </w:pPr>
            <w:r>
              <w:rPr>
                <w:spacing w:val="-2"/>
                <w:sz w:val="24"/>
              </w:rPr>
              <w:t>1.1.2.1</w:t>
            </w:r>
          </w:p>
        </w:tc>
        <w:tc>
          <w:tcPr>
            <w:tcW w:w="1534" w:type="dxa"/>
          </w:tcPr>
          <w:p>
            <w:pPr>
              <w:pStyle w:val="TableParagraph"/>
              <w:spacing w:line="244" w:lineRule="exact"/>
              <w:ind w:left="109"/>
              <w:rPr>
                <w:sz w:val="24"/>
              </w:rPr>
            </w:pPr>
            <w:r>
              <w:rPr>
                <w:spacing w:val="-5"/>
                <w:sz w:val="24"/>
              </w:rPr>
              <w:t>DI</w:t>
            </w:r>
          </w:p>
        </w:tc>
        <w:tc>
          <w:tcPr>
            <w:tcW w:w="3834" w:type="dxa"/>
          </w:tcPr>
          <w:p>
            <w:pPr>
              <w:pStyle w:val="TableParagraph"/>
              <w:spacing w:line="216" w:lineRule="auto"/>
              <w:ind w:left="110" w:right="118"/>
              <w:rPr>
                <w:sz w:val="24"/>
              </w:rPr>
            </w:pPr>
            <w:r>
              <w:rPr>
                <w:sz w:val="24"/>
              </w:rPr>
              <w:t>Capture GL account transaction information provided by supporting financial management operations (for example, payments, receipts, liabilities, assets, and reimbursable/ intragovernmentals) consistent with the USSGL account attributes, account transaction codes, account transaction categories, and account transaction</w:t>
            </w:r>
            <w:r>
              <w:rPr>
                <w:spacing w:val="-17"/>
                <w:sz w:val="24"/>
              </w:rPr>
              <w:t> </w:t>
            </w:r>
            <w:r>
              <w:rPr>
                <w:sz w:val="24"/>
              </w:rPr>
              <w:t>subcategories</w:t>
            </w:r>
            <w:r>
              <w:rPr>
                <w:spacing w:val="-17"/>
                <w:sz w:val="24"/>
              </w:rPr>
              <w:t> </w:t>
            </w:r>
            <w:r>
              <w:rPr>
                <w:sz w:val="24"/>
              </w:rPr>
              <w:t>defined</w:t>
            </w:r>
          </w:p>
          <w:p>
            <w:pPr>
              <w:pStyle w:val="TableParagraph"/>
              <w:spacing w:line="238" w:lineRule="exact"/>
              <w:ind w:left="110"/>
              <w:rPr>
                <w:sz w:val="24"/>
              </w:rPr>
            </w:pPr>
            <w:r>
              <w:rPr>
                <w:sz w:val="24"/>
              </w:rPr>
              <w:t>in</w:t>
            </w:r>
            <w:r>
              <w:rPr>
                <w:spacing w:val="-1"/>
                <w:sz w:val="24"/>
              </w:rPr>
              <w:t> </w:t>
            </w:r>
            <w:r>
              <w:rPr>
                <w:sz w:val="24"/>
              </w:rPr>
              <w:t>the</w:t>
            </w:r>
            <w:r>
              <w:rPr>
                <w:spacing w:val="-1"/>
                <w:sz w:val="24"/>
              </w:rPr>
              <w:t> </w:t>
            </w:r>
            <w:r>
              <w:rPr>
                <w:spacing w:val="-4"/>
                <w:sz w:val="24"/>
              </w:rPr>
              <w:t>TFM.</w:t>
            </w:r>
          </w:p>
        </w:tc>
        <w:tc>
          <w:tcPr>
            <w:tcW w:w="6628" w:type="dxa"/>
          </w:tcPr>
          <w:p>
            <w:pPr>
              <w:pStyle w:val="TableParagraph"/>
              <w:numPr>
                <w:ilvl w:val="0"/>
                <w:numId w:val="5"/>
              </w:numPr>
              <w:tabs>
                <w:tab w:pos="328" w:val="left" w:leader="none"/>
              </w:tabs>
              <w:spacing w:line="216" w:lineRule="auto" w:before="0" w:after="0"/>
              <w:ind w:left="327" w:right="632" w:hanging="216"/>
              <w:jc w:val="left"/>
              <w:rPr>
                <w:sz w:val="24"/>
              </w:rPr>
            </w:pPr>
            <w:hyperlink r:id="rId14">
              <w:r>
                <w:rPr>
                  <w:color w:val="0000FF"/>
                  <w:sz w:val="24"/>
                </w:rPr>
                <w:t>USSGL</w:t>
              </w:r>
            </w:hyperlink>
            <w:r>
              <w:rPr>
                <w:sz w:val="24"/>
              </w:rPr>
              <w:t>,</w:t>
            </w:r>
            <w:r>
              <w:rPr>
                <w:spacing w:val="-5"/>
                <w:sz w:val="24"/>
              </w:rPr>
              <w:t> </w:t>
            </w:r>
            <w:r>
              <w:rPr>
                <w:sz w:val="24"/>
              </w:rPr>
              <w:t>Section</w:t>
            </w:r>
            <w:r>
              <w:rPr>
                <w:spacing w:val="-6"/>
                <w:sz w:val="24"/>
              </w:rPr>
              <w:t> </w:t>
            </w:r>
            <w:r>
              <w:rPr>
                <w:sz w:val="24"/>
              </w:rPr>
              <w:t>I:</w:t>
            </w:r>
            <w:r>
              <w:rPr>
                <w:spacing w:val="-5"/>
                <w:sz w:val="24"/>
              </w:rPr>
              <w:t> </w:t>
            </w:r>
            <w:r>
              <w:rPr>
                <w:sz w:val="24"/>
              </w:rPr>
              <w:t>Chart</w:t>
            </w:r>
            <w:r>
              <w:rPr>
                <w:spacing w:val="-5"/>
                <w:sz w:val="24"/>
              </w:rPr>
              <w:t> </w:t>
            </w:r>
            <w:r>
              <w:rPr>
                <w:sz w:val="24"/>
              </w:rPr>
              <w:t>of</w:t>
            </w:r>
            <w:r>
              <w:rPr>
                <w:spacing w:val="-7"/>
                <w:sz w:val="24"/>
              </w:rPr>
              <w:t> </w:t>
            </w:r>
            <w:r>
              <w:rPr>
                <w:sz w:val="24"/>
              </w:rPr>
              <w:t>Accounts</w:t>
            </w:r>
            <w:r>
              <w:rPr>
                <w:spacing w:val="-6"/>
                <w:sz w:val="24"/>
              </w:rPr>
              <w:t> </w:t>
            </w:r>
            <w:r>
              <w:rPr>
                <w:sz w:val="24"/>
              </w:rPr>
              <w:t>(includes</w:t>
            </w:r>
            <w:r>
              <w:rPr>
                <w:spacing w:val="-6"/>
                <w:sz w:val="24"/>
              </w:rPr>
              <w:t> </w:t>
            </w:r>
            <w:r>
              <w:rPr>
                <w:sz w:val="24"/>
              </w:rPr>
              <w:t>Cover </w:t>
            </w:r>
            <w:r>
              <w:rPr>
                <w:spacing w:val="-2"/>
                <w:sz w:val="24"/>
              </w:rPr>
              <w:t>Page);</w:t>
            </w:r>
          </w:p>
          <w:p>
            <w:pPr>
              <w:pStyle w:val="TableParagraph"/>
              <w:numPr>
                <w:ilvl w:val="0"/>
                <w:numId w:val="5"/>
              </w:numPr>
              <w:tabs>
                <w:tab w:pos="328" w:val="left" w:leader="none"/>
              </w:tabs>
              <w:spacing w:line="213" w:lineRule="auto" w:before="0" w:after="0"/>
              <w:ind w:left="327" w:right="539" w:hanging="216"/>
              <w:jc w:val="left"/>
              <w:rPr>
                <w:sz w:val="24"/>
              </w:rPr>
            </w:pPr>
            <w:hyperlink r:id="rId14">
              <w:r>
                <w:rPr>
                  <w:color w:val="0000FF"/>
                  <w:sz w:val="24"/>
                </w:rPr>
                <w:t>USSGL</w:t>
              </w:r>
            </w:hyperlink>
            <w:r>
              <w:rPr>
                <w:sz w:val="24"/>
              </w:rPr>
              <w:t>,</w:t>
            </w:r>
            <w:r>
              <w:rPr>
                <w:spacing w:val="-6"/>
                <w:sz w:val="24"/>
              </w:rPr>
              <w:t> </w:t>
            </w:r>
            <w:r>
              <w:rPr>
                <w:sz w:val="24"/>
              </w:rPr>
              <w:t>Section</w:t>
            </w:r>
            <w:r>
              <w:rPr>
                <w:spacing w:val="-7"/>
                <w:sz w:val="24"/>
              </w:rPr>
              <w:t> </w:t>
            </w:r>
            <w:r>
              <w:rPr>
                <w:sz w:val="24"/>
              </w:rPr>
              <w:t>II:</w:t>
            </w:r>
            <w:r>
              <w:rPr>
                <w:spacing w:val="-8"/>
                <w:sz w:val="24"/>
              </w:rPr>
              <w:t> </w:t>
            </w:r>
            <w:r>
              <w:rPr>
                <w:sz w:val="24"/>
              </w:rPr>
              <w:t>Accounts</w:t>
            </w:r>
            <w:r>
              <w:rPr>
                <w:spacing w:val="-7"/>
                <w:sz w:val="24"/>
              </w:rPr>
              <w:t> </w:t>
            </w:r>
            <w:r>
              <w:rPr>
                <w:sz w:val="24"/>
              </w:rPr>
              <w:t>and</w:t>
            </w:r>
            <w:r>
              <w:rPr>
                <w:spacing w:val="-7"/>
                <w:sz w:val="24"/>
              </w:rPr>
              <w:t> </w:t>
            </w:r>
            <w:r>
              <w:rPr>
                <w:sz w:val="24"/>
              </w:rPr>
              <w:t>Definitions</w:t>
            </w:r>
            <w:r>
              <w:rPr>
                <w:spacing w:val="-7"/>
                <w:sz w:val="24"/>
              </w:rPr>
              <w:t> </w:t>
            </w:r>
            <w:r>
              <w:rPr>
                <w:sz w:val="24"/>
              </w:rPr>
              <w:t>(includes Cover Page);</w:t>
            </w:r>
          </w:p>
          <w:p>
            <w:pPr>
              <w:pStyle w:val="TableParagraph"/>
              <w:numPr>
                <w:ilvl w:val="0"/>
                <w:numId w:val="5"/>
              </w:numPr>
              <w:tabs>
                <w:tab w:pos="328" w:val="left" w:leader="none"/>
              </w:tabs>
              <w:spacing w:line="258"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3"/>
                <w:sz w:val="24"/>
              </w:rPr>
              <w:t> </w:t>
            </w:r>
            <w:r>
              <w:rPr>
                <w:sz w:val="24"/>
              </w:rPr>
              <w:t>III:</w:t>
            </w:r>
            <w:r>
              <w:rPr>
                <w:spacing w:val="-3"/>
                <w:sz w:val="24"/>
              </w:rPr>
              <w:t> </w:t>
            </w:r>
            <w:r>
              <w:rPr>
                <w:sz w:val="24"/>
              </w:rPr>
              <w:t>Account</w:t>
            </w:r>
            <w:r>
              <w:rPr>
                <w:spacing w:val="-3"/>
                <w:sz w:val="24"/>
              </w:rPr>
              <w:t> </w:t>
            </w:r>
            <w:r>
              <w:rPr>
                <w:spacing w:val="-2"/>
                <w:sz w:val="24"/>
              </w:rPr>
              <w:t>Transactions;</w:t>
            </w:r>
          </w:p>
          <w:p>
            <w:pPr>
              <w:pStyle w:val="TableParagraph"/>
              <w:numPr>
                <w:ilvl w:val="0"/>
                <w:numId w:val="5"/>
              </w:numPr>
              <w:tabs>
                <w:tab w:pos="328" w:val="left" w:leader="none"/>
              </w:tabs>
              <w:spacing w:line="213" w:lineRule="auto" w:before="6" w:after="0"/>
              <w:ind w:left="327" w:right="452" w:hanging="216"/>
              <w:jc w:val="left"/>
              <w:rPr>
                <w:sz w:val="24"/>
              </w:rPr>
            </w:pPr>
            <w:hyperlink r:id="rId14">
              <w:r>
                <w:rPr>
                  <w:color w:val="0000FF"/>
                  <w:sz w:val="24"/>
                </w:rPr>
                <w:t>USSGL</w:t>
              </w:r>
            </w:hyperlink>
            <w:r>
              <w:rPr>
                <w:sz w:val="24"/>
              </w:rPr>
              <w:t>, Section IV: Account Attributes for USSGL Proprietary</w:t>
            </w:r>
            <w:r>
              <w:rPr>
                <w:spacing w:val="-9"/>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3"/>
                <w:sz w:val="24"/>
              </w:rPr>
              <w:t> </w:t>
            </w:r>
            <w:r>
              <w:rPr>
                <w:sz w:val="24"/>
              </w:rPr>
              <w:t>Reporting;</w:t>
            </w:r>
          </w:p>
          <w:p>
            <w:pPr>
              <w:pStyle w:val="TableParagraph"/>
              <w:numPr>
                <w:ilvl w:val="0"/>
                <w:numId w:val="5"/>
              </w:numPr>
              <w:tabs>
                <w:tab w:pos="328" w:val="left" w:leader="none"/>
              </w:tabs>
              <w:spacing w:line="216" w:lineRule="auto" w:before="3"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r>
        <w:trPr>
          <w:trHeight w:val="2316"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5" w:lineRule="exact"/>
              <w:ind w:left="107"/>
              <w:rPr>
                <w:sz w:val="24"/>
              </w:rPr>
            </w:pPr>
            <w:r>
              <w:rPr>
                <w:spacing w:val="-2"/>
                <w:sz w:val="24"/>
              </w:rPr>
              <w:t>1.1.2.2</w:t>
            </w:r>
          </w:p>
        </w:tc>
        <w:tc>
          <w:tcPr>
            <w:tcW w:w="1534" w:type="dxa"/>
          </w:tcPr>
          <w:p>
            <w:pPr>
              <w:pStyle w:val="TableParagraph"/>
              <w:spacing w:line="245" w:lineRule="exact"/>
              <w:ind w:left="109"/>
              <w:rPr>
                <w:sz w:val="24"/>
              </w:rPr>
            </w:pPr>
            <w:r>
              <w:rPr>
                <w:sz w:val="24"/>
              </w:rPr>
              <w:t>P</w:t>
            </w:r>
          </w:p>
        </w:tc>
        <w:tc>
          <w:tcPr>
            <w:tcW w:w="3834" w:type="dxa"/>
          </w:tcPr>
          <w:p>
            <w:pPr>
              <w:pStyle w:val="TableParagraph"/>
              <w:spacing w:line="216" w:lineRule="auto"/>
              <w:ind w:left="110" w:right="145"/>
              <w:rPr>
                <w:sz w:val="24"/>
              </w:rPr>
            </w:pPr>
            <w:r>
              <w:rPr>
                <w:sz w:val="24"/>
              </w:rPr>
              <w:t>Post</w:t>
            </w:r>
            <w:r>
              <w:rPr>
                <w:spacing w:val="-13"/>
                <w:sz w:val="24"/>
              </w:rPr>
              <w:t> </w:t>
            </w:r>
            <w:r>
              <w:rPr>
                <w:sz w:val="24"/>
              </w:rPr>
              <w:t>GL</w:t>
            </w:r>
            <w:r>
              <w:rPr>
                <w:spacing w:val="-14"/>
                <w:sz w:val="24"/>
              </w:rPr>
              <w:t> </w:t>
            </w:r>
            <w:r>
              <w:rPr>
                <w:sz w:val="24"/>
              </w:rPr>
              <w:t>proprietary,</w:t>
            </w:r>
            <w:r>
              <w:rPr>
                <w:spacing w:val="-13"/>
                <w:sz w:val="24"/>
              </w:rPr>
              <w:t> </w:t>
            </w:r>
            <w:r>
              <w:rPr>
                <w:sz w:val="24"/>
              </w:rPr>
              <w:t>budgetary, and memorandum account transactions consistent with USSGL account attributes, account transaction codes, account</w:t>
            </w:r>
            <w:r>
              <w:rPr>
                <w:spacing w:val="-7"/>
                <w:sz w:val="24"/>
              </w:rPr>
              <w:t> </w:t>
            </w:r>
            <w:r>
              <w:rPr>
                <w:sz w:val="24"/>
              </w:rPr>
              <w:t>transaction</w:t>
            </w:r>
            <w:r>
              <w:rPr>
                <w:spacing w:val="-7"/>
                <w:sz w:val="24"/>
              </w:rPr>
              <w:t> </w:t>
            </w:r>
            <w:r>
              <w:rPr>
                <w:sz w:val="24"/>
              </w:rPr>
              <w:t>categories, and account transaction subcategories</w:t>
            </w:r>
            <w:r>
              <w:rPr>
                <w:spacing w:val="-4"/>
                <w:sz w:val="24"/>
              </w:rPr>
              <w:t> </w:t>
            </w:r>
            <w:r>
              <w:rPr>
                <w:sz w:val="24"/>
              </w:rPr>
              <w:t>as</w:t>
            </w:r>
            <w:r>
              <w:rPr>
                <w:spacing w:val="-4"/>
                <w:sz w:val="24"/>
              </w:rPr>
              <w:t> </w:t>
            </w:r>
            <w:r>
              <w:rPr>
                <w:sz w:val="24"/>
              </w:rPr>
              <w:t>defined</w:t>
            </w:r>
            <w:r>
              <w:rPr>
                <w:spacing w:val="-4"/>
                <w:sz w:val="24"/>
              </w:rPr>
              <w:t> </w:t>
            </w:r>
            <w:r>
              <w:rPr>
                <w:sz w:val="24"/>
              </w:rPr>
              <w:t>in</w:t>
            </w:r>
            <w:r>
              <w:rPr>
                <w:spacing w:val="-4"/>
                <w:sz w:val="24"/>
              </w:rPr>
              <w:t> </w:t>
            </w:r>
            <w:r>
              <w:rPr>
                <w:sz w:val="24"/>
              </w:rPr>
              <w:t>the </w:t>
            </w:r>
            <w:r>
              <w:rPr>
                <w:spacing w:val="-4"/>
                <w:sz w:val="24"/>
              </w:rPr>
              <w:t>TFM.</w:t>
            </w:r>
          </w:p>
        </w:tc>
        <w:tc>
          <w:tcPr>
            <w:tcW w:w="6628" w:type="dxa"/>
          </w:tcPr>
          <w:p>
            <w:pPr>
              <w:pStyle w:val="TableParagraph"/>
              <w:numPr>
                <w:ilvl w:val="0"/>
                <w:numId w:val="6"/>
              </w:numPr>
              <w:tabs>
                <w:tab w:pos="328" w:val="left" w:leader="none"/>
              </w:tabs>
              <w:spacing w:line="213" w:lineRule="auto" w:before="0" w:after="0"/>
              <w:ind w:left="327" w:right="632" w:hanging="216"/>
              <w:jc w:val="left"/>
              <w:rPr>
                <w:sz w:val="24"/>
              </w:rPr>
            </w:pPr>
            <w:hyperlink r:id="rId14">
              <w:r>
                <w:rPr>
                  <w:color w:val="0000FF"/>
                  <w:sz w:val="24"/>
                </w:rPr>
                <w:t>USSGL</w:t>
              </w:r>
            </w:hyperlink>
            <w:r>
              <w:rPr>
                <w:sz w:val="24"/>
              </w:rPr>
              <w:t>,</w:t>
            </w:r>
            <w:r>
              <w:rPr>
                <w:spacing w:val="-5"/>
                <w:sz w:val="24"/>
              </w:rPr>
              <w:t> </w:t>
            </w:r>
            <w:r>
              <w:rPr>
                <w:sz w:val="24"/>
              </w:rPr>
              <w:t>Section</w:t>
            </w:r>
            <w:r>
              <w:rPr>
                <w:spacing w:val="-6"/>
                <w:sz w:val="24"/>
              </w:rPr>
              <w:t> </w:t>
            </w:r>
            <w:r>
              <w:rPr>
                <w:sz w:val="24"/>
              </w:rPr>
              <w:t>I:</w:t>
            </w:r>
            <w:r>
              <w:rPr>
                <w:spacing w:val="-5"/>
                <w:sz w:val="24"/>
              </w:rPr>
              <w:t> </w:t>
            </w:r>
            <w:r>
              <w:rPr>
                <w:sz w:val="24"/>
              </w:rPr>
              <w:t>Chart</w:t>
            </w:r>
            <w:r>
              <w:rPr>
                <w:spacing w:val="-5"/>
                <w:sz w:val="24"/>
              </w:rPr>
              <w:t> </w:t>
            </w:r>
            <w:r>
              <w:rPr>
                <w:sz w:val="24"/>
              </w:rPr>
              <w:t>of</w:t>
            </w:r>
            <w:r>
              <w:rPr>
                <w:spacing w:val="-7"/>
                <w:sz w:val="24"/>
              </w:rPr>
              <w:t> </w:t>
            </w:r>
            <w:r>
              <w:rPr>
                <w:sz w:val="24"/>
              </w:rPr>
              <w:t>Accounts</w:t>
            </w:r>
            <w:r>
              <w:rPr>
                <w:spacing w:val="-6"/>
                <w:sz w:val="24"/>
              </w:rPr>
              <w:t> </w:t>
            </w:r>
            <w:r>
              <w:rPr>
                <w:sz w:val="24"/>
              </w:rPr>
              <w:t>(includes</w:t>
            </w:r>
            <w:r>
              <w:rPr>
                <w:spacing w:val="-6"/>
                <w:sz w:val="24"/>
              </w:rPr>
              <w:t> </w:t>
            </w:r>
            <w:r>
              <w:rPr>
                <w:sz w:val="24"/>
              </w:rPr>
              <w:t>Cover </w:t>
            </w:r>
            <w:r>
              <w:rPr>
                <w:spacing w:val="-2"/>
                <w:sz w:val="24"/>
              </w:rPr>
              <w:t>Page);</w:t>
            </w:r>
          </w:p>
          <w:p>
            <w:pPr>
              <w:pStyle w:val="TableParagraph"/>
              <w:numPr>
                <w:ilvl w:val="0"/>
                <w:numId w:val="6"/>
              </w:numPr>
              <w:tabs>
                <w:tab w:pos="328" w:val="left" w:leader="none"/>
              </w:tabs>
              <w:spacing w:line="213" w:lineRule="auto" w:before="0" w:after="0"/>
              <w:ind w:left="327" w:right="540" w:hanging="216"/>
              <w:jc w:val="left"/>
              <w:rPr>
                <w:sz w:val="24"/>
              </w:rPr>
            </w:pPr>
            <w:hyperlink r:id="rId14">
              <w:r>
                <w:rPr>
                  <w:color w:val="0000FF"/>
                  <w:sz w:val="24"/>
                </w:rPr>
                <w:t>USSGL</w:t>
              </w:r>
            </w:hyperlink>
            <w:r>
              <w:rPr>
                <w:sz w:val="24"/>
              </w:rPr>
              <w:t>,</w:t>
            </w:r>
            <w:r>
              <w:rPr>
                <w:spacing w:val="-6"/>
                <w:sz w:val="24"/>
              </w:rPr>
              <w:t> </w:t>
            </w:r>
            <w:r>
              <w:rPr>
                <w:sz w:val="24"/>
              </w:rPr>
              <w:t>Section</w:t>
            </w:r>
            <w:r>
              <w:rPr>
                <w:spacing w:val="-7"/>
                <w:sz w:val="24"/>
              </w:rPr>
              <w:t> </w:t>
            </w:r>
            <w:r>
              <w:rPr>
                <w:sz w:val="24"/>
              </w:rPr>
              <w:t>II:</w:t>
            </w:r>
            <w:r>
              <w:rPr>
                <w:spacing w:val="-8"/>
                <w:sz w:val="24"/>
              </w:rPr>
              <w:t> </w:t>
            </w:r>
            <w:r>
              <w:rPr>
                <w:sz w:val="24"/>
              </w:rPr>
              <w:t>Accounts</w:t>
            </w:r>
            <w:r>
              <w:rPr>
                <w:spacing w:val="-7"/>
                <w:sz w:val="24"/>
              </w:rPr>
              <w:t> </w:t>
            </w:r>
            <w:r>
              <w:rPr>
                <w:sz w:val="24"/>
              </w:rPr>
              <w:t>and</w:t>
            </w:r>
            <w:r>
              <w:rPr>
                <w:spacing w:val="-7"/>
                <w:sz w:val="24"/>
              </w:rPr>
              <w:t> </w:t>
            </w:r>
            <w:r>
              <w:rPr>
                <w:sz w:val="24"/>
              </w:rPr>
              <w:t>Definitions</w:t>
            </w:r>
            <w:r>
              <w:rPr>
                <w:spacing w:val="-7"/>
                <w:sz w:val="24"/>
              </w:rPr>
              <w:t> </w:t>
            </w:r>
            <w:r>
              <w:rPr>
                <w:sz w:val="24"/>
              </w:rPr>
              <w:t>(includes Cover Page);</w:t>
            </w:r>
          </w:p>
          <w:p>
            <w:pPr>
              <w:pStyle w:val="TableParagraph"/>
              <w:numPr>
                <w:ilvl w:val="0"/>
                <w:numId w:val="6"/>
              </w:numPr>
              <w:tabs>
                <w:tab w:pos="328" w:val="left" w:leader="none"/>
              </w:tabs>
              <w:spacing w:line="258"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3"/>
                <w:sz w:val="24"/>
              </w:rPr>
              <w:t> </w:t>
            </w:r>
            <w:r>
              <w:rPr>
                <w:sz w:val="24"/>
              </w:rPr>
              <w:t>III:</w:t>
            </w:r>
            <w:r>
              <w:rPr>
                <w:spacing w:val="-3"/>
                <w:sz w:val="24"/>
              </w:rPr>
              <w:t> </w:t>
            </w:r>
            <w:r>
              <w:rPr>
                <w:sz w:val="24"/>
              </w:rPr>
              <w:t>Account</w:t>
            </w:r>
            <w:r>
              <w:rPr>
                <w:spacing w:val="-3"/>
                <w:sz w:val="24"/>
              </w:rPr>
              <w:t> </w:t>
            </w:r>
            <w:r>
              <w:rPr>
                <w:spacing w:val="-2"/>
                <w:sz w:val="24"/>
              </w:rPr>
              <w:t>Transactions;</w:t>
            </w:r>
          </w:p>
          <w:p>
            <w:pPr>
              <w:pStyle w:val="TableParagraph"/>
              <w:numPr>
                <w:ilvl w:val="0"/>
                <w:numId w:val="6"/>
              </w:numPr>
              <w:tabs>
                <w:tab w:pos="328" w:val="left" w:leader="none"/>
              </w:tabs>
              <w:spacing w:line="213" w:lineRule="auto" w:before="12" w:after="0"/>
              <w:ind w:left="327" w:right="452" w:hanging="216"/>
              <w:jc w:val="left"/>
              <w:rPr>
                <w:sz w:val="24"/>
              </w:rPr>
            </w:pPr>
            <w:hyperlink r:id="rId14">
              <w:r>
                <w:rPr>
                  <w:color w:val="0000FF"/>
                  <w:sz w:val="24"/>
                </w:rPr>
                <w:t>USSGL</w:t>
              </w:r>
            </w:hyperlink>
            <w:r>
              <w:rPr>
                <w:sz w:val="24"/>
              </w:rPr>
              <w:t>, Section IV: Account Attributes for USSGL Proprietary</w:t>
            </w:r>
            <w:r>
              <w:rPr>
                <w:spacing w:val="-9"/>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3"/>
                <w:sz w:val="24"/>
              </w:rPr>
              <w:t> </w:t>
            </w:r>
            <w:r>
              <w:rPr>
                <w:sz w:val="24"/>
              </w:rPr>
              <w:t>Reporting;</w:t>
            </w:r>
          </w:p>
          <w:p>
            <w:pPr>
              <w:pStyle w:val="TableParagraph"/>
              <w:numPr>
                <w:ilvl w:val="0"/>
                <w:numId w:val="6"/>
              </w:numPr>
              <w:tabs>
                <w:tab w:pos="328" w:val="left" w:leader="none"/>
              </w:tabs>
              <w:spacing w:line="250" w:lineRule="exact" w:before="4"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r>
        <w:trPr>
          <w:trHeight w:val="993"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1.1.2.3</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230"/>
              <w:jc w:val="both"/>
              <w:rPr>
                <w:sz w:val="24"/>
              </w:rPr>
            </w:pPr>
            <w:r>
              <w:rPr>
                <w:sz w:val="24"/>
              </w:rPr>
              <w:t>Close</w:t>
            </w:r>
            <w:r>
              <w:rPr>
                <w:spacing w:val="-13"/>
                <w:sz w:val="24"/>
              </w:rPr>
              <w:t> </w:t>
            </w:r>
            <w:r>
              <w:rPr>
                <w:sz w:val="24"/>
              </w:rPr>
              <w:t>non-fiduciary</w:t>
            </w:r>
            <w:r>
              <w:rPr>
                <w:spacing w:val="-13"/>
                <w:sz w:val="24"/>
              </w:rPr>
              <w:t> </w:t>
            </w:r>
            <w:r>
              <w:rPr>
                <w:sz w:val="24"/>
              </w:rPr>
              <w:t>and</w:t>
            </w:r>
            <w:r>
              <w:rPr>
                <w:spacing w:val="-13"/>
                <w:sz w:val="24"/>
              </w:rPr>
              <w:t> </w:t>
            </w:r>
            <w:r>
              <w:rPr>
                <w:sz w:val="24"/>
              </w:rPr>
              <w:t>fiduciary accounts</w:t>
            </w:r>
            <w:r>
              <w:rPr>
                <w:spacing w:val="-13"/>
                <w:sz w:val="24"/>
              </w:rPr>
              <w:t> </w:t>
            </w:r>
            <w:r>
              <w:rPr>
                <w:sz w:val="24"/>
              </w:rPr>
              <w:t>consistent</w:t>
            </w:r>
            <w:r>
              <w:rPr>
                <w:spacing w:val="-13"/>
                <w:sz w:val="24"/>
              </w:rPr>
              <w:t> </w:t>
            </w:r>
            <w:r>
              <w:rPr>
                <w:sz w:val="24"/>
              </w:rPr>
              <w:t>with</w:t>
            </w:r>
            <w:r>
              <w:rPr>
                <w:spacing w:val="-13"/>
                <w:sz w:val="24"/>
              </w:rPr>
              <w:t> </w:t>
            </w:r>
            <w:r>
              <w:rPr>
                <w:sz w:val="24"/>
              </w:rPr>
              <w:t>USSGL account closing table rules as</w:t>
            </w:r>
          </w:p>
          <w:p>
            <w:pPr>
              <w:pStyle w:val="TableParagraph"/>
              <w:spacing w:line="238" w:lineRule="exact"/>
              <w:ind w:left="110"/>
              <w:jc w:val="both"/>
              <w:rPr>
                <w:sz w:val="24"/>
              </w:rPr>
            </w:pPr>
            <w:r>
              <w:rPr>
                <w:sz w:val="24"/>
              </w:rPr>
              <w:t>defined</w:t>
            </w:r>
            <w:r>
              <w:rPr>
                <w:spacing w:val="-5"/>
                <w:sz w:val="24"/>
              </w:rPr>
              <w:t> </w:t>
            </w:r>
            <w:r>
              <w:rPr>
                <w:sz w:val="24"/>
              </w:rPr>
              <w:t>in</w:t>
            </w:r>
            <w:r>
              <w:rPr>
                <w:spacing w:val="-2"/>
                <w:sz w:val="24"/>
              </w:rPr>
              <w:t> </w:t>
            </w:r>
            <w:r>
              <w:rPr>
                <w:sz w:val="24"/>
              </w:rPr>
              <w:t>the</w:t>
            </w:r>
            <w:r>
              <w:rPr>
                <w:spacing w:val="-2"/>
                <w:sz w:val="24"/>
              </w:rPr>
              <w:t> </w:t>
            </w:r>
            <w:r>
              <w:rPr>
                <w:spacing w:val="-4"/>
                <w:sz w:val="24"/>
              </w:rPr>
              <w:t>TFM.</w:t>
            </w:r>
          </w:p>
        </w:tc>
        <w:tc>
          <w:tcPr>
            <w:tcW w:w="6628" w:type="dxa"/>
          </w:tcPr>
          <w:p>
            <w:pPr>
              <w:pStyle w:val="TableParagraph"/>
              <w:numPr>
                <w:ilvl w:val="0"/>
                <w:numId w:val="7"/>
              </w:numPr>
              <w:tabs>
                <w:tab w:pos="328" w:val="left" w:leader="none"/>
              </w:tabs>
              <w:spacing w:line="247"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4"/>
                <w:sz w:val="24"/>
              </w:rPr>
              <w:t> </w:t>
            </w:r>
            <w:r>
              <w:rPr>
                <w:sz w:val="24"/>
              </w:rPr>
              <w:t>III:</w:t>
            </w:r>
            <w:r>
              <w:rPr>
                <w:spacing w:val="-2"/>
                <w:sz w:val="24"/>
              </w:rPr>
              <w:t> </w:t>
            </w:r>
            <w:r>
              <w:rPr>
                <w:sz w:val="24"/>
              </w:rPr>
              <w:t>Account</w:t>
            </w:r>
            <w:r>
              <w:rPr>
                <w:spacing w:val="-4"/>
                <w:sz w:val="24"/>
              </w:rPr>
              <w:t> </w:t>
            </w:r>
            <w:r>
              <w:rPr>
                <w:spacing w:val="-2"/>
                <w:sz w:val="24"/>
              </w:rPr>
              <w:t>Transactions;</w:t>
            </w:r>
          </w:p>
          <w:p>
            <w:pPr>
              <w:pStyle w:val="TableParagraph"/>
              <w:numPr>
                <w:ilvl w:val="0"/>
                <w:numId w:val="7"/>
              </w:numPr>
              <w:tabs>
                <w:tab w:pos="328" w:val="left" w:leader="none"/>
              </w:tabs>
              <w:spacing w:line="213" w:lineRule="auto" w:before="12" w:after="0"/>
              <w:ind w:left="327" w:right="152" w:hanging="216"/>
              <w:jc w:val="left"/>
              <w:rPr>
                <w:sz w:val="24"/>
              </w:rPr>
            </w:pPr>
            <w:hyperlink r:id="rId14">
              <w:r>
                <w:rPr>
                  <w:color w:val="0000FF"/>
                  <w:sz w:val="24"/>
                </w:rPr>
                <w:t>USSGL</w:t>
              </w:r>
            </w:hyperlink>
            <w:r>
              <w:rPr>
                <w:sz w:val="24"/>
              </w:rPr>
              <w:t>,</w:t>
            </w:r>
            <w:r>
              <w:rPr>
                <w:spacing w:val="-5"/>
                <w:sz w:val="24"/>
              </w:rPr>
              <w:t> </w:t>
            </w:r>
            <w:r>
              <w:rPr>
                <w:sz w:val="24"/>
              </w:rPr>
              <w:t>Section</w:t>
            </w:r>
            <w:r>
              <w:rPr>
                <w:spacing w:val="-6"/>
                <w:sz w:val="24"/>
              </w:rPr>
              <w:t> </w:t>
            </w:r>
            <w:r>
              <w:rPr>
                <w:sz w:val="24"/>
              </w:rPr>
              <w:t>VII:</w:t>
            </w:r>
            <w:r>
              <w:rPr>
                <w:spacing w:val="-7"/>
                <w:sz w:val="24"/>
              </w:rPr>
              <w:t> </w:t>
            </w:r>
            <w:r>
              <w:rPr>
                <w:sz w:val="24"/>
              </w:rPr>
              <w:t>GTAS</w:t>
            </w:r>
            <w:r>
              <w:rPr>
                <w:spacing w:val="-6"/>
                <w:sz w:val="24"/>
              </w:rPr>
              <w:t> </w:t>
            </w:r>
            <w:r>
              <w:rPr>
                <w:sz w:val="24"/>
              </w:rPr>
              <w:t>Validations</w:t>
            </w:r>
            <w:r>
              <w:rPr>
                <w:spacing w:val="-6"/>
                <w:sz w:val="24"/>
              </w:rPr>
              <w:t> </w:t>
            </w:r>
            <w:r>
              <w:rPr>
                <w:sz w:val="24"/>
              </w:rPr>
              <w:t>and</w:t>
            </w:r>
            <w:r>
              <w:rPr>
                <w:spacing w:val="-6"/>
                <w:sz w:val="24"/>
              </w:rPr>
              <w:t> </w:t>
            </w:r>
            <w:r>
              <w:rPr>
                <w:sz w:val="24"/>
              </w:rPr>
              <w:t>Edits,</w:t>
            </w:r>
            <w:r>
              <w:rPr>
                <w:spacing w:val="-5"/>
                <w:sz w:val="24"/>
              </w:rPr>
              <w:t> </w:t>
            </w:r>
            <w:r>
              <w:rPr>
                <w:sz w:val="24"/>
              </w:rPr>
              <w:t>Closing Edits Detail</w:t>
            </w:r>
            <w:r>
              <w:rPr>
                <w:spacing w:val="-8"/>
                <w:sz w:val="24"/>
              </w:rPr>
              <w:t> </w:t>
            </w:r>
            <w:r>
              <w:rPr>
                <w:sz w:val="24"/>
              </w:rPr>
              <w:t>Report.</w:t>
            </w:r>
          </w:p>
        </w:tc>
      </w:tr>
    </w:tbl>
    <w:p>
      <w:pPr>
        <w:spacing w:after="0" w:line="213" w:lineRule="auto"/>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ind w:left="0"/>
              <w:rPr>
                <w:sz w:val="35"/>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3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ind w:left="0"/>
              <w:rPr>
                <w:sz w:val="35"/>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6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ind w:left="0"/>
              <w:rPr>
                <w:sz w:val="35"/>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ind w:left="0"/>
              <w:rPr>
                <w:sz w:val="35"/>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484"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53" w:lineRule="exact"/>
              <w:ind w:left="107"/>
              <w:rPr>
                <w:sz w:val="24"/>
              </w:rPr>
            </w:pPr>
            <w:r>
              <w:rPr>
                <w:spacing w:val="-2"/>
                <w:sz w:val="24"/>
              </w:rPr>
              <w:t>1.1.2.4</w:t>
            </w:r>
          </w:p>
        </w:tc>
        <w:tc>
          <w:tcPr>
            <w:tcW w:w="1534" w:type="dxa"/>
          </w:tcPr>
          <w:p>
            <w:pPr>
              <w:pStyle w:val="TableParagraph"/>
              <w:spacing w:line="253" w:lineRule="exact"/>
              <w:ind w:left="109"/>
              <w:rPr>
                <w:sz w:val="24"/>
              </w:rPr>
            </w:pPr>
            <w:r>
              <w:rPr>
                <w:sz w:val="24"/>
              </w:rPr>
              <w:t>P</w:t>
            </w:r>
          </w:p>
        </w:tc>
        <w:tc>
          <w:tcPr>
            <w:tcW w:w="3834" w:type="dxa"/>
          </w:tcPr>
          <w:p>
            <w:pPr>
              <w:pStyle w:val="TableParagraph"/>
              <w:spacing w:line="248" w:lineRule="exact"/>
              <w:ind w:left="110" w:right="96"/>
              <w:rPr>
                <w:sz w:val="24"/>
              </w:rPr>
            </w:pPr>
            <w:r>
              <w:rPr>
                <w:sz w:val="24"/>
              </w:rPr>
              <w:t>Maintain ability to post transactions funded, obligated, or expended over multiple years to GL</w:t>
            </w:r>
            <w:r>
              <w:rPr>
                <w:spacing w:val="-7"/>
                <w:sz w:val="24"/>
              </w:rPr>
              <w:t> </w:t>
            </w:r>
            <w:r>
              <w:rPr>
                <w:sz w:val="24"/>
              </w:rPr>
              <w:t>accounts</w:t>
            </w:r>
            <w:r>
              <w:rPr>
                <w:spacing w:val="-7"/>
                <w:sz w:val="24"/>
              </w:rPr>
              <w:t> </w:t>
            </w:r>
            <w:r>
              <w:rPr>
                <w:sz w:val="24"/>
              </w:rPr>
              <w:t>that</w:t>
            </w:r>
            <w:r>
              <w:rPr>
                <w:spacing w:val="-7"/>
                <w:sz w:val="24"/>
              </w:rPr>
              <w:t> </w:t>
            </w:r>
            <w:r>
              <w:rPr>
                <w:sz w:val="24"/>
              </w:rPr>
              <w:t>do</w:t>
            </w:r>
            <w:r>
              <w:rPr>
                <w:spacing w:val="-7"/>
                <w:sz w:val="24"/>
              </w:rPr>
              <w:t> </w:t>
            </w:r>
            <w:r>
              <w:rPr>
                <w:sz w:val="24"/>
              </w:rPr>
              <w:t>not</w:t>
            </w:r>
            <w:r>
              <w:rPr>
                <w:spacing w:val="-7"/>
                <w:sz w:val="24"/>
              </w:rPr>
              <w:t> </w:t>
            </w:r>
            <w:r>
              <w:rPr>
                <w:sz w:val="24"/>
              </w:rPr>
              <w:t>close</w:t>
            </w:r>
            <w:r>
              <w:rPr>
                <w:spacing w:val="-7"/>
                <w:sz w:val="24"/>
              </w:rPr>
              <w:t> </w:t>
            </w:r>
            <w:r>
              <w:rPr>
                <w:sz w:val="24"/>
              </w:rPr>
              <w:t>(for example, undelivered orders– obligations, unpaid; delivered orders–obligations, unpaid; authority outlayed not yet disbursed) consistent with the </w:t>
            </w:r>
            <w:r>
              <w:rPr>
                <w:spacing w:val="-4"/>
                <w:sz w:val="24"/>
              </w:rPr>
              <w:t>TFM.</w:t>
            </w:r>
          </w:p>
        </w:tc>
        <w:tc>
          <w:tcPr>
            <w:tcW w:w="6628" w:type="dxa"/>
          </w:tcPr>
          <w:p>
            <w:pPr>
              <w:pStyle w:val="TableParagraph"/>
              <w:numPr>
                <w:ilvl w:val="0"/>
                <w:numId w:val="8"/>
              </w:numPr>
              <w:tabs>
                <w:tab w:pos="328" w:val="left" w:leader="none"/>
              </w:tabs>
              <w:spacing w:line="216" w:lineRule="auto" w:before="1" w:after="0"/>
              <w:ind w:left="327" w:right="632" w:hanging="216"/>
              <w:jc w:val="left"/>
              <w:rPr>
                <w:sz w:val="24"/>
              </w:rPr>
            </w:pPr>
            <w:hyperlink r:id="rId14">
              <w:r>
                <w:rPr>
                  <w:color w:val="0000FF"/>
                  <w:sz w:val="24"/>
                </w:rPr>
                <w:t>USSGL</w:t>
              </w:r>
              <w:r>
                <w:rPr>
                  <w:sz w:val="24"/>
                </w:rPr>
                <w:t>,</w:t>
              </w:r>
            </w:hyperlink>
            <w:r>
              <w:rPr>
                <w:spacing w:val="-5"/>
                <w:sz w:val="24"/>
              </w:rPr>
              <w:t> </w:t>
            </w:r>
            <w:r>
              <w:rPr>
                <w:sz w:val="24"/>
              </w:rPr>
              <w:t>Section</w:t>
            </w:r>
            <w:r>
              <w:rPr>
                <w:spacing w:val="-6"/>
                <w:sz w:val="24"/>
              </w:rPr>
              <w:t> </w:t>
            </w:r>
            <w:r>
              <w:rPr>
                <w:sz w:val="24"/>
              </w:rPr>
              <w:t>I:</w:t>
            </w:r>
            <w:r>
              <w:rPr>
                <w:spacing w:val="-5"/>
                <w:sz w:val="24"/>
              </w:rPr>
              <w:t> </w:t>
            </w:r>
            <w:r>
              <w:rPr>
                <w:sz w:val="24"/>
              </w:rPr>
              <w:t>Chart</w:t>
            </w:r>
            <w:r>
              <w:rPr>
                <w:spacing w:val="-5"/>
                <w:sz w:val="24"/>
              </w:rPr>
              <w:t> </w:t>
            </w:r>
            <w:r>
              <w:rPr>
                <w:sz w:val="24"/>
              </w:rPr>
              <w:t>of</w:t>
            </w:r>
            <w:r>
              <w:rPr>
                <w:spacing w:val="-7"/>
                <w:sz w:val="24"/>
              </w:rPr>
              <w:t> </w:t>
            </w:r>
            <w:r>
              <w:rPr>
                <w:sz w:val="24"/>
              </w:rPr>
              <w:t>Accounts</w:t>
            </w:r>
            <w:r>
              <w:rPr>
                <w:spacing w:val="-6"/>
                <w:sz w:val="24"/>
              </w:rPr>
              <w:t> </w:t>
            </w:r>
            <w:r>
              <w:rPr>
                <w:sz w:val="24"/>
              </w:rPr>
              <w:t>(includes</w:t>
            </w:r>
            <w:r>
              <w:rPr>
                <w:spacing w:val="-6"/>
                <w:sz w:val="24"/>
              </w:rPr>
              <w:t> </w:t>
            </w:r>
            <w:r>
              <w:rPr>
                <w:sz w:val="24"/>
              </w:rPr>
              <w:t>Cover </w:t>
            </w:r>
            <w:r>
              <w:rPr>
                <w:spacing w:val="-2"/>
                <w:sz w:val="24"/>
              </w:rPr>
              <w:t>Page);</w:t>
            </w:r>
          </w:p>
          <w:p>
            <w:pPr>
              <w:pStyle w:val="TableParagraph"/>
              <w:numPr>
                <w:ilvl w:val="0"/>
                <w:numId w:val="8"/>
              </w:numPr>
              <w:tabs>
                <w:tab w:pos="328" w:val="left" w:leader="none"/>
              </w:tabs>
              <w:spacing w:line="213" w:lineRule="auto" w:before="3" w:after="0"/>
              <w:ind w:left="327" w:right="540" w:hanging="216"/>
              <w:jc w:val="left"/>
              <w:rPr>
                <w:sz w:val="24"/>
              </w:rPr>
            </w:pPr>
            <w:hyperlink r:id="rId14">
              <w:r>
                <w:rPr>
                  <w:color w:val="0000FF"/>
                  <w:sz w:val="24"/>
                </w:rPr>
                <w:t>USSGL</w:t>
              </w:r>
              <w:r>
                <w:rPr>
                  <w:sz w:val="24"/>
                </w:rPr>
                <w:t>,</w:t>
              </w:r>
            </w:hyperlink>
            <w:r>
              <w:rPr>
                <w:spacing w:val="-6"/>
                <w:sz w:val="24"/>
              </w:rPr>
              <w:t> </w:t>
            </w:r>
            <w:r>
              <w:rPr>
                <w:sz w:val="24"/>
              </w:rPr>
              <w:t>Section</w:t>
            </w:r>
            <w:r>
              <w:rPr>
                <w:spacing w:val="-7"/>
                <w:sz w:val="24"/>
              </w:rPr>
              <w:t> </w:t>
            </w:r>
            <w:r>
              <w:rPr>
                <w:sz w:val="24"/>
              </w:rPr>
              <w:t>II:</w:t>
            </w:r>
            <w:r>
              <w:rPr>
                <w:spacing w:val="-8"/>
                <w:sz w:val="24"/>
              </w:rPr>
              <w:t> </w:t>
            </w:r>
            <w:r>
              <w:rPr>
                <w:sz w:val="24"/>
              </w:rPr>
              <w:t>Accounts</w:t>
            </w:r>
            <w:r>
              <w:rPr>
                <w:spacing w:val="-7"/>
                <w:sz w:val="24"/>
              </w:rPr>
              <w:t> </w:t>
            </w:r>
            <w:r>
              <w:rPr>
                <w:sz w:val="24"/>
              </w:rPr>
              <w:t>and</w:t>
            </w:r>
            <w:r>
              <w:rPr>
                <w:spacing w:val="-7"/>
                <w:sz w:val="24"/>
              </w:rPr>
              <w:t> </w:t>
            </w:r>
            <w:r>
              <w:rPr>
                <w:sz w:val="24"/>
              </w:rPr>
              <w:t>Definitions</w:t>
            </w:r>
            <w:r>
              <w:rPr>
                <w:spacing w:val="-7"/>
                <w:sz w:val="24"/>
              </w:rPr>
              <w:t> </w:t>
            </w:r>
            <w:r>
              <w:rPr>
                <w:sz w:val="24"/>
              </w:rPr>
              <w:t>(includes Cover Page);</w:t>
            </w:r>
          </w:p>
          <w:p>
            <w:pPr>
              <w:pStyle w:val="TableParagraph"/>
              <w:numPr>
                <w:ilvl w:val="0"/>
                <w:numId w:val="8"/>
              </w:numPr>
              <w:tabs>
                <w:tab w:pos="328" w:val="left" w:leader="none"/>
              </w:tabs>
              <w:spacing w:line="258"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4"/>
                <w:sz w:val="24"/>
              </w:rPr>
              <w:t> </w:t>
            </w:r>
            <w:r>
              <w:rPr>
                <w:sz w:val="24"/>
              </w:rPr>
              <w:t>III:</w:t>
            </w:r>
            <w:r>
              <w:rPr>
                <w:spacing w:val="-2"/>
                <w:sz w:val="24"/>
              </w:rPr>
              <w:t> </w:t>
            </w:r>
            <w:r>
              <w:rPr>
                <w:sz w:val="24"/>
              </w:rPr>
              <w:t>Account</w:t>
            </w:r>
            <w:r>
              <w:rPr>
                <w:spacing w:val="-4"/>
                <w:sz w:val="24"/>
              </w:rPr>
              <w:t> </w:t>
            </w:r>
            <w:r>
              <w:rPr>
                <w:spacing w:val="-2"/>
                <w:sz w:val="24"/>
              </w:rPr>
              <w:t>Transactions;</w:t>
            </w:r>
          </w:p>
          <w:p>
            <w:pPr>
              <w:pStyle w:val="TableParagraph"/>
              <w:numPr>
                <w:ilvl w:val="0"/>
                <w:numId w:val="8"/>
              </w:numPr>
              <w:tabs>
                <w:tab w:pos="328" w:val="left" w:leader="none"/>
              </w:tabs>
              <w:spacing w:line="213" w:lineRule="auto" w:before="12" w:after="0"/>
              <w:ind w:left="327" w:right="152" w:hanging="216"/>
              <w:jc w:val="left"/>
              <w:rPr>
                <w:sz w:val="24"/>
              </w:rPr>
            </w:pPr>
            <w:hyperlink r:id="rId14">
              <w:r>
                <w:rPr>
                  <w:color w:val="0000FF"/>
                  <w:sz w:val="24"/>
                </w:rPr>
                <w:t>USSGL</w:t>
              </w:r>
            </w:hyperlink>
            <w:r>
              <w:rPr>
                <w:sz w:val="24"/>
              </w:rPr>
              <w:t>,</w:t>
            </w:r>
            <w:r>
              <w:rPr>
                <w:spacing w:val="-5"/>
                <w:sz w:val="24"/>
              </w:rPr>
              <w:t> </w:t>
            </w:r>
            <w:r>
              <w:rPr>
                <w:sz w:val="24"/>
              </w:rPr>
              <w:t>Section</w:t>
            </w:r>
            <w:r>
              <w:rPr>
                <w:spacing w:val="-6"/>
                <w:sz w:val="24"/>
              </w:rPr>
              <w:t> </w:t>
            </w:r>
            <w:r>
              <w:rPr>
                <w:sz w:val="24"/>
              </w:rPr>
              <w:t>VII:</w:t>
            </w:r>
            <w:r>
              <w:rPr>
                <w:spacing w:val="-7"/>
                <w:sz w:val="24"/>
              </w:rPr>
              <w:t> </w:t>
            </w:r>
            <w:r>
              <w:rPr>
                <w:sz w:val="24"/>
              </w:rPr>
              <w:t>GTAS</w:t>
            </w:r>
            <w:r>
              <w:rPr>
                <w:spacing w:val="-6"/>
                <w:sz w:val="24"/>
              </w:rPr>
              <w:t> </w:t>
            </w:r>
            <w:r>
              <w:rPr>
                <w:sz w:val="24"/>
              </w:rPr>
              <w:t>Validations</w:t>
            </w:r>
            <w:r>
              <w:rPr>
                <w:spacing w:val="-6"/>
                <w:sz w:val="24"/>
              </w:rPr>
              <w:t> </w:t>
            </w:r>
            <w:r>
              <w:rPr>
                <w:sz w:val="24"/>
              </w:rPr>
              <w:t>and</w:t>
            </w:r>
            <w:r>
              <w:rPr>
                <w:spacing w:val="-6"/>
                <w:sz w:val="24"/>
              </w:rPr>
              <w:t> </w:t>
            </w:r>
            <w:r>
              <w:rPr>
                <w:sz w:val="24"/>
              </w:rPr>
              <w:t>Edits,</w:t>
            </w:r>
            <w:r>
              <w:rPr>
                <w:spacing w:val="-5"/>
                <w:sz w:val="24"/>
              </w:rPr>
              <w:t> </w:t>
            </w:r>
            <w:r>
              <w:rPr>
                <w:sz w:val="24"/>
              </w:rPr>
              <w:t>Closing Edits Detail</w:t>
            </w:r>
            <w:r>
              <w:rPr>
                <w:spacing w:val="-12"/>
                <w:sz w:val="24"/>
              </w:rPr>
              <w:t> </w:t>
            </w:r>
            <w:r>
              <w:rPr>
                <w:sz w:val="24"/>
              </w:rPr>
              <w:t>Report.</w:t>
            </w:r>
          </w:p>
        </w:tc>
      </w:tr>
    </w:tbl>
    <w:p>
      <w:pPr>
        <w:spacing w:after="0" w:line="213" w:lineRule="auto"/>
        <w:jc w:val="left"/>
        <w:rPr>
          <w:sz w:val="24"/>
        </w:rPr>
        <w:sectPr>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7197" w:hRule="atLeast"/>
        </w:trPr>
        <w:tc>
          <w:tcPr>
            <w:tcW w:w="1525" w:type="dxa"/>
          </w:tcPr>
          <w:p>
            <w:pPr>
              <w:pStyle w:val="TableParagraph"/>
              <w:spacing w:line="244" w:lineRule="exact"/>
              <w:ind w:left="107"/>
              <w:rPr>
                <w:sz w:val="24"/>
              </w:rPr>
            </w:pPr>
            <w:r>
              <w:rPr>
                <w:spacing w:val="-4"/>
                <w:sz w:val="24"/>
              </w:rPr>
              <w:t>1.1.3</w:t>
            </w:r>
          </w:p>
        </w:tc>
        <w:tc>
          <w:tcPr>
            <w:tcW w:w="1761" w:type="dxa"/>
          </w:tcPr>
          <w:p>
            <w:pPr>
              <w:pStyle w:val="TableParagraph"/>
              <w:spacing w:line="216" w:lineRule="auto"/>
              <w:ind w:left="108" w:right="185"/>
              <w:rPr>
                <w:sz w:val="24"/>
              </w:rPr>
            </w:pPr>
            <w:r>
              <w:rPr>
                <w:spacing w:val="-2"/>
                <w:sz w:val="24"/>
              </w:rPr>
              <w:t>Managing Financial Asset Information</w:t>
            </w:r>
          </w:p>
        </w:tc>
        <w:tc>
          <w:tcPr>
            <w:tcW w:w="1984" w:type="dxa"/>
          </w:tcPr>
          <w:p>
            <w:pPr>
              <w:pStyle w:val="TableParagraph"/>
              <w:spacing w:line="244" w:lineRule="exact"/>
              <w:ind w:left="107"/>
              <w:rPr>
                <w:sz w:val="24"/>
              </w:rPr>
            </w:pPr>
            <w:r>
              <w:rPr>
                <w:spacing w:val="-2"/>
                <w:sz w:val="24"/>
              </w:rPr>
              <w:t>1.1.3.1</w:t>
            </w:r>
          </w:p>
        </w:tc>
        <w:tc>
          <w:tcPr>
            <w:tcW w:w="1534" w:type="dxa"/>
          </w:tcPr>
          <w:p>
            <w:pPr>
              <w:pStyle w:val="TableParagraph"/>
              <w:spacing w:line="244" w:lineRule="exact"/>
              <w:ind w:left="109"/>
              <w:rPr>
                <w:sz w:val="24"/>
              </w:rPr>
            </w:pPr>
            <w:r>
              <w:rPr>
                <w:spacing w:val="-5"/>
                <w:sz w:val="24"/>
              </w:rPr>
              <w:t>DI</w:t>
            </w:r>
          </w:p>
        </w:tc>
        <w:tc>
          <w:tcPr>
            <w:tcW w:w="3834" w:type="dxa"/>
          </w:tcPr>
          <w:p>
            <w:pPr>
              <w:pStyle w:val="TableParagraph"/>
              <w:spacing w:line="216" w:lineRule="auto"/>
              <w:ind w:left="110" w:right="161"/>
              <w:rPr>
                <w:sz w:val="24"/>
              </w:rPr>
            </w:pPr>
            <w:r>
              <w:rPr>
                <w:sz w:val="24"/>
              </w:rPr>
              <w:t>Capture federal government asset type (for example, entity, non-entity, governmental, and intragovernmental), category [for example, property, plant, and equipment (PP&amp;E); inventory; seized and forfeited; investments in Treasury securities], and subcategory (for example, general PP&amp;E or heritage PP&amp;E) consistent with The Federal Accounting Standards Advisory Board (FASAB) Handbook of Accounting</w:t>
            </w:r>
            <w:r>
              <w:rPr>
                <w:spacing w:val="-12"/>
                <w:sz w:val="24"/>
              </w:rPr>
              <w:t> </w:t>
            </w:r>
            <w:r>
              <w:rPr>
                <w:sz w:val="24"/>
              </w:rPr>
              <w:t>Standards,</w:t>
            </w:r>
            <w:r>
              <w:rPr>
                <w:spacing w:val="-12"/>
                <w:sz w:val="24"/>
              </w:rPr>
              <w:t> </w:t>
            </w:r>
            <w:r>
              <w:rPr>
                <w:sz w:val="24"/>
              </w:rPr>
              <w:t>and</w:t>
            </w:r>
            <w:r>
              <w:rPr>
                <w:spacing w:val="-13"/>
                <w:sz w:val="24"/>
              </w:rPr>
              <w:t> </w:t>
            </w:r>
            <w:r>
              <w:rPr>
                <w:sz w:val="24"/>
              </w:rPr>
              <w:t>Other Pronouncements, as Amended (FASAB Handbook).</w:t>
            </w:r>
          </w:p>
        </w:tc>
        <w:tc>
          <w:tcPr>
            <w:tcW w:w="6628" w:type="dxa"/>
          </w:tcPr>
          <w:p>
            <w:pPr>
              <w:pStyle w:val="TableParagraph"/>
              <w:numPr>
                <w:ilvl w:val="0"/>
                <w:numId w:val="9"/>
              </w:numPr>
              <w:tabs>
                <w:tab w:pos="328" w:val="left" w:leader="none"/>
              </w:tabs>
              <w:spacing w:line="216" w:lineRule="auto" w:before="0" w:after="0"/>
              <w:ind w:left="327" w:right="124" w:hanging="216"/>
              <w:jc w:val="left"/>
              <w:rPr>
                <w:sz w:val="24"/>
              </w:rPr>
            </w:pPr>
            <w:hyperlink r:id="rId16">
              <w:r>
                <w:rPr>
                  <w:color w:val="0000FF"/>
                  <w:sz w:val="24"/>
                </w:rPr>
                <w:t>Statement of Federal Financial Accounting Standard</w:t>
              </w:r>
            </w:hyperlink>
            <w:r>
              <w:rPr>
                <w:color w:val="0000FF"/>
                <w:sz w:val="24"/>
              </w:rPr>
              <w:t> </w:t>
            </w:r>
            <w:hyperlink r:id="rId16">
              <w:r>
                <w:rPr>
                  <w:color w:val="0000FF"/>
                  <w:sz w:val="24"/>
                </w:rPr>
                <w:t>(SFFAS)</w:t>
              </w:r>
              <w:r>
                <w:rPr>
                  <w:color w:val="0000FF"/>
                  <w:spacing w:val="-6"/>
                  <w:sz w:val="24"/>
                </w:rPr>
                <w:t> </w:t>
              </w:r>
              <w:r>
                <w:rPr>
                  <w:color w:val="0000FF"/>
                  <w:sz w:val="24"/>
                </w:rPr>
                <w:t>1</w:t>
              </w:r>
            </w:hyperlink>
            <w:r>
              <w:rPr>
                <w:sz w:val="24"/>
              </w:rPr>
              <w:t>:</w:t>
            </w:r>
            <w:r>
              <w:rPr>
                <w:spacing w:val="-5"/>
                <w:sz w:val="24"/>
              </w:rPr>
              <w:t> </w:t>
            </w:r>
            <w:r>
              <w:rPr>
                <w:sz w:val="24"/>
              </w:rPr>
              <w:t>Accounting</w:t>
            </w:r>
            <w:r>
              <w:rPr>
                <w:spacing w:val="-6"/>
                <w:sz w:val="24"/>
              </w:rPr>
              <w:t> </w:t>
            </w:r>
            <w:r>
              <w:rPr>
                <w:sz w:val="24"/>
              </w:rPr>
              <w:t>for</w:t>
            </w:r>
            <w:r>
              <w:rPr>
                <w:spacing w:val="-6"/>
                <w:sz w:val="24"/>
              </w:rPr>
              <w:t> </w:t>
            </w:r>
            <w:r>
              <w:rPr>
                <w:sz w:val="24"/>
              </w:rPr>
              <w:t>Selected</w:t>
            </w:r>
            <w:r>
              <w:rPr>
                <w:spacing w:val="-6"/>
                <w:sz w:val="24"/>
              </w:rPr>
              <w:t> </w:t>
            </w:r>
            <w:r>
              <w:rPr>
                <w:sz w:val="24"/>
              </w:rPr>
              <w:t>Assets</w:t>
            </w:r>
            <w:r>
              <w:rPr>
                <w:spacing w:val="-6"/>
                <w:sz w:val="24"/>
              </w:rPr>
              <w:t> </w:t>
            </w:r>
            <w:r>
              <w:rPr>
                <w:sz w:val="24"/>
              </w:rPr>
              <w:t>and</w:t>
            </w:r>
            <w:r>
              <w:rPr>
                <w:spacing w:val="-17"/>
                <w:sz w:val="24"/>
              </w:rPr>
              <w:t> </w:t>
            </w:r>
            <w:r>
              <w:rPr>
                <w:sz w:val="24"/>
              </w:rPr>
              <w:t>Liabilities;</w:t>
            </w:r>
          </w:p>
          <w:p>
            <w:pPr>
              <w:pStyle w:val="TableParagraph"/>
              <w:numPr>
                <w:ilvl w:val="0"/>
                <w:numId w:val="9"/>
              </w:numPr>
              <w:tabs>
                <w:tab w:pos="328" w:val="left" w:leader="none"/>
              </w:tabs>
              <w:spacing w:line="213" w:lineRule="auto" w:before="0" w:after="0"/>
              <w:ind w:left="327" w:right="1167" w:hanging="216"/>
              <w:jc w:val="left"/>
              <w:rPr>
                <w:sz w:val="24"/>
              </w:rPr>
            </w:pPr>
            <w:hyperlink r:id="rId17">
              <w:r>
                <w:rPr>
                  <w:color w:val="0000FF"/>
                  <w:sz w:val="24"/>
                </w:rPr>
                <w:t>SFFAS</w:t>
              </w:r>
              <w:r>
                <w:rPr>
                  <w:color w:val="0000FF"/>
                  <w:spacing w:val="-6"/>
                  <w:sz w:val="24"/>
                </w:rPr>
                <w:t> </w:t>
              </w:r>
              <w:r>
                <w:rPr>
                  <w:color w:val="0000FF"/>
                  <w:sz w:val="24"/>
                </w:rPr>
                <w:t>2</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Direct</w:t>
            </w:r>
            <w:r>
              <w:rPr>
                <w:spacing w:val="-8"/>
                <w:sz w:val="24"/>
              </w:rPr>
              <w:t> </w:t>
            </w:r>
            <w:r>
              <w:rPr>
                <w:sz w:val="24"/>
              </w:rPr>
              <w:t>Loans</w:t>
            </w:r>
            <w:r>
              <w:rPr>
                <w:spacing w:val="-6"/>
                <w:sz w:val="24"/>
              </w:rPr>
              <w:t> </w:t>
            </w:r>
            <w:r>
              <w:rPr>
                <w:sz w:val="24"/>
              </w:rPr>
              <w:t>and</w:t>
            </w:r>
            <w:r>
              <w:rPr>
                <w:spacing w:val="-5"/>
                <w:sz w:val="24"/>
              </w:rPr>
              <w:t> </w:t>
            </w:r>
            <w:r>
              <w:rPr>
                <w:sz w:val="24"/>
              </w:rPr>
              <w:t>Loan </w:t>
            </w:r>
            <w:r>
              <w:rPr>
                <w:spacing w:val="-2"/>
                <w:sz w:val="24"/>
              </w:rPr>
              <w:t>Guarantees;</w:t>
            </w:r>
          </w:p>
          <w:p>
            <w:pPr>
              <w:pStyle w:val="TableParagraph"/>
              <w:numPr>
                <w:ilvl w:val="0"/>
                <w:numId w:val="9"/>
              </w:numPr>
              <w:tabs>
                <w:tab w:pos="328" w:val="left" w:leader="none"/>
              </w:tabs>
              <w:spacing w:line="258" w:lineRule="exact" w:before="0" w:after="0"/>
              <w:ind w:left="327" w:right="0" w:hanging="217"/>
              <w:jc w:val="left"/>
              <w:rPr>
                <w:sz w:val="24"/>
              </w:rPr>
            </w:pPr>
            <w:hyperlink r:id="rId18">
              <w:r>
                <w:rPr>
                  <w:color w:val="0000FF"/>
                  <w:sz w:val="24"/>
                </w:rPr>
                <w:t>SFFAS</w:t>
              </w:r>
              <w:r>
                <w:rPr>
                  <w:color w:val="0000FF"/>
                  <w:spacing w:val="-7"/>
                  <w:sz w:val="24"/>
                </w:rPr>
                <w:t> </w:t>
              </w:r>
              <w:r>
                <w:rPr>
                  <w:color w:val="0000FF"/>
                  <w:sz w:val="24"/>
                </w:rPr>
                <w:t>3</w:t>
              </w:r>
            </w:hyperlink>
            <w:r>
              <w:rPr>
                <w:sz w:val="24"/>
              </w:rPr>
              <w:t>:</w:t>
            </w:r>
            <w:r>
              <w:rPr>
                <w:spacing w:val="-4"/>
                <w:sz w:val="24"/>
              </w:rPr>
              <w:t> </w:t>
            </w:r>
            <w:r>
              <w:rPr>
                <w:sz w:val="24"/>
              </w:rPr>
              <w:t>Accounting</w:t>
            </w:r>
            <w:r>
              <w:rPr>
                <w:spacing w:val="-3"/>
                <w:sz w:val="24"/>
              </w:rPr>
              <w:t> </w:t>
            </w:r>
            <w:r>
              <w:rPr>
                <w:sz w:val="24"/>
              </w:rPr>
              <w:t>for</w:t>
            </w:r>
            <w:r>
              <w:rPr>
                <w:spacing w:val="-4"/>
                <w:sz w:val="24"/>
              </w:rPr>
              <w:t> </w:t>
            </w:r>
            <w:r>
              <w:rPr>
                <w:sz w:val="24"/>
              </w:rPr>
              <w:t>Inventory</w:t>
            </w:r>
            <w:r>
              <w:rPr>
                <w:spacing w:val="-3"/>
                <w:sz w:val="24"/>
              </w:rPr>
              <w:t> </w:t>
            </w:r>
            <w:r>
              <w:rPr>
                <w:sz w:val="24"/>
              </w:rPr>
              <w:t>and</w:t>
            </w:r>
            <w:r>
              <w:rPr>
                <w:spacing w:val="-3"/>
                <w:sz w:val="24"/>
              </w:rPr>
              <w:t> </w:t>
            </w:r>
            <w:r>
              <w:rPr>
                <w:sz w:val="24"/>
              </w:rPr>
              <w:t>Related</w:t>
            </w:r>
            <w:r>
              <w:rPr>
                <w:spacing w:val="-44"/>
                <w:sz w:val="24"/>
              </w:rPr>
              <w:t> </w:t>
            </w:r>
            <w:r>
              <w:rPr>
                <w:spacing w:val="-2"/>
                <w:sz w:val="24"/>
              </w:rPr>
              <w:t>Property;</w:t>
            </w:r>
          </w:p>
          <w:p>
            <w:pPr>
              <w:pStyle w:val="TableParagraph"/>
              <w:numPr>
                <w:ilvl w:val="0"/>
                <w:numId w:val="9"/>
              </w:numPr>
              <w:tabs>
                <w:tab w:pos="328" w:val="left" w:leader="none"/>
              </w:tabs>
              <w:spacing w:line="265" w:lineRule="exact" w:before="0" w:after="0"/>
              <w:ind w:left="327" w:right="0" w:hanging="217"/>
              <w:jc w:val="left"/>
              <w:rPr>
                <w:sz w:val="24"/>
              </w:rPr>
            </w:pPr>
            <w:hyperlink r:id="rId19">
              <w:r>
                <w:rPr>
                  <w:color w:val="0000FF"/>
                  <w:sz w:val="24"/>
                </w:rPr>
                <w:t>SFFAS</w:t>
              </w:r>
              <w:r>
                <w:rPr>
                  <w:color w:val="0000FF"/>
                  <w:spacing w:val="-5"/>
                  <w:sz w:val="24"/>
                </w:rPr>
                <w:t> </w:t>
              </w:r>
              <w:r>
                <w:rPr>
                  <w:color w:val="0000FF"/>
                  <w:sz w:val="24"/>
                </w:rPr>
                <w:t>6</w:t>
              </w:r>
            </w:hyperlink>
            <w:r>
              <w:rPr>
                <w:sz w:val="24"/>
              </w:rPr>
              <w:t>:</w:t>
            </w:r>
            <w:r>
              <w:rPr>
                <w:spacing w:val="-5"/>
                <w:sz w:val="24"/>
              </w:rPr>
              <w:t> </w:t>
            </w:r>
            <w:r>
              <w:rPr>
                <w:sz w:val="24"/>
              </w:rPr>
              <w:t>Accounting</w:t>
            </w:r>
            <w:r>
              <w:rPr>
                <w:spacing w:val="-2"/>
                <w:sz w:val="24"/>
              </w:rPr>
              <w:t> </w:t>
            </w:r>
            <w:r>
              <w:rPr>
                <w:sz w:val="24"/>
              </w:rPr>
              <w:t>for</w:t>
            </w:r>
            <w:r>
              <w:rPr>
                <w:spacing w:val="-4"/>
                <w:sz w:val="24"/>
              </w:rPr>
              <w:t> </w:t>
            </w:r>
            <w:r>
              <w:rPr>
                <w:sz w:val="24"/>
              </w:rPr>
              <w:t>Property,</w:t>
            </w:r>
            <w:r>
              <w:rPr>
                <w:spacing w:val="-2"/>
                <w:sz w:val="24"/>
              </w:rPr>
              <w:t> </w:t>
            </w:r>
            <w:r>
              <w:rPr>
                <w:sz w:val="24"/>
              </w:rPr>
              <w:t>Plant,</w:t>
            </w:r>
            <w:r>
              <w:rPr>
                <w:spacing w:val="-2"/>
                <w:sz w:val="24"/>
              </w:rPr>
              <w:t> </w:t>
            </w:r>
            <w:r>
              <w:rPr>
                <w:sz w:val="24"/>
              </w:rPr>
              <w:t>and</w:t>
            </w:r>
            <w:r>
              <w:rPr>
                <w:spacing w:val="-40"/>
                <w:sz w:val="24"/>
              </w:rPr>
              <w:t> </w:t>
            </w:r>
            <w:r>
              <w:rPr>
                <w:spacing w:val="-2"/>
                <w:sz w:val="24"/>
              </w:rPr>
              <w:t>Equipment;</w:t>
            </w:r>
          </w:p>
          <w:p>
            <w:pPr>
              <w:pStyle w:val="TableParagraph"/>
              <w:numPr>
                <w:ilvl w:val="0"/>
                <w:numId w:val="9"/>
              </w:numPr>
              <w:tabs>
                <w:tab w:pos="328" w:val="left" w:leader="none"/>
              </w:tabs>
              <w:spacing w:line="216" w:lineRule="auto" w:before="3" w:after="0"/>
              <w:ind w:left="327" w:right="378"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Sources and Concepts for Reconciling Budgetary and Financial</w:t>
            </w:r>
            <w:r>
              <w:rPr>
                <w:spacing w:val="-24"/>
                <w:sz w:val="24"/>
              </w:rPr>
              <w:t> </w:t>
            </w:r>
            <w:r>
              <w:rPr>
                <w:sz w:val="24"/>
              </w:rPr>
              <w:t>Accounting;</w:t>
            </w:r>
          </w:p>
          <w:p>
            <w:pPr>
              <w:pStyle w:val="TableParagraph"/>
              <w:numPr>
                <w:ilvl w:val="0"/>
                <w:numId w:val="9"/>
              </w:numPr>
              <w:tabs>
                <w:tab w:pos="328" w:val="left" w:leader="none"/>
              </w:tabs>
              <w:spacing w:line="256" w:lineRule="exact" w:before="0" w:after="0"/>
              <w:ind w:left="327" w:right="0" w:hanging="217"/>
              <w:jc w:val="left"/>
              <w:rPr>
                <w:sz w:val="24"/>
              </w:rPr>
            </w:pPr>
            <w:hyperlink r:id="rId21">
              <w:r>
                <w:rPr>
                  <w:color w:val="0000FF"/>
                  <w:sz w:val="24"/>
                </w:rPr>
                <w:t>SFFAS</w:t>
              </w:r>
              <w:r>
                <w:rPr>
                  <w:color w:val="0000FF"/>
                  <w:spacing w:val="-3"/>
                  <w:sz w:val="24"/>
                </w:rPr>
                <w:t> </w:t>
              </w:r>
              <w:r>
                <w:rPr>
                  <w:color w:val="0000FF"/>
                  <w:sz w:val="24"/>
                </w:rPr>
                <w:t>10</w:t>
              </w:r>
            </w:hyperlink>
            <w:r>
              <w:rPr>
                <w:sz w:val="24"/>
              </w:rPr>
              <w:t>:</w:t>
            </w:r>
            <w:r>
              <w:rPr>
                <w:spacing w:val="-2"/>
                <w:sz w:val="24"/>
              </w:rPr>
              <w:t> </w:t>
            </w:r>
            <w:r>
              <w:rPr>
                <w:sz w:val="24"/>
              </w:rPr>
              <w:t>Accounting</w:t>
            </w:r>
            <w:r>
              <w:rPr>
                <w:spacing w:val="-3"/>
                <w:sz w:val="24"/>
              </w:rPr>
              <w:t> </w:t>
            </w:r>
            <w:r>
              <w:rPr>
                <w:sz w:val="24"/>
              </w:rPr>
              <w:t>for</w:t>
            </w:r>
            <w:r>
              <w:rPr>
                <w:spacing w:val="-4"/>
                <w:sz w:val="24"/>
              </w:rPr>
              <w:t> </w:t>
            </w:r>
            <w:r>
              <w:rPr>
                <w:sz w:val="24"/>
              </w:rPr>
              <w:t>Internal</w:t>
            </w:r>
            <w:r>
              <w:rPr>
                <w:spacing w:val="-3"/>
                <w:sz w:val="24"/>
              </w:rPr>
              <w:t> </w:t>
            </w:r>
            <w:r>
              <w:rPr>
                <w:sz w:val="24"/>
              </w:rPr>
              <w:t>Use</w:t>
            </w:r>
            <w:r>
              <w:rPr>
                <w:spacing w:val="-7"/>
                <w:sz w:val="24"/>
              </w:rPr>
              <w:t> </w:t>
            </w:r>
            <w:r>
              <w:rPr>
                <w:spacing w:val="-2"/>
                <w:sz w:val="24"/>
              </w:rPr>
              <w:t>Software;</w:t>
            </w:r>
          </w:p>
          <w:p>
            <w:pPr>
              <w:pStyle w:val="TableParagraph"/>
              <w:numPr>
                <w:ilvl w:val="0"/>
                <w:numId w:val="9"/>
              </w:numPr>
              <w:tabs>
                <w:tab w:pos="328" w:val="left" w:leader="none"/>
              </w:tabs>
              <w:spacing w:line="216" w:lineRule="auto" w:before="9" w:after="0"/>
              <w:ind w:left="327" w:right="606" w:hanging="216"/>
              <w:jc w:val="left"/>
              <w:rPr>
                <w:sz w:val="24"/>
              </w:rPr>
            </w:pPr>
            <w:hyperlink r:id="rId22">
              <w:r>
                <w:rPr>
                  <w:color w:val="0000FF"/>
                  <w:sz w:val="24"/>
                </w:rPr>
                <w:t>SFFAS</w:t>
              </w:r>
              <w:r>
                <w:rPr>
                  <w:color w:val="0000FF"/>
                  <w:spacing w:val="-7"/>
                  <w:sz w:val="24"/>
                </w:rPr>
                <w:t> </w:t>
              </w:r>
              <w:r>
                <w:rPr>
                  <w:color w:val="0000FF"/>
                  <w:sz w:val="24"/>
                </w:rPr>
                <w:t>18</w:t>
              </w:r>
            </w:hyperlink>
            <w:r>
              <w:rPr>
                <w:sz w:val="24"/>
              </w:rPr>
              <w:t>:</w:t>
            </w:r>
            <w:r>
              <w:rPr>
                <w:spacing w:val="-6"/>
                <w:sz w:val="24"/>
              </w:rPr>
              <w:t> </w:t>
            </w:r>
            <w:r>
              <w:rPr>
                <w:sz w:val="24"/>
              </w:rPr>
              <w:t>Amendments</w:t>
            </w:r>
            <w:r>
              <w:rPr>
                <w:spacing w:val="-7"/>
                <w:sz w:val="24"/>
              </w:rPr>
              <w:t> </w:t>
            </w:r>
            <w:r>
              <w:rPr>
                <w:sz w:val="24"/>
              </w:rPr>
              <w:t>to</w:t>
            </w:r>
            <w:r>
              <w:rPr>
                <w:spacing w:val="-7"/>
                <w:sz w:val="24"/>
              </w:rPr>
              <w:t> </w:t>
            </w:r>
            <w:r>
              <w:rPr>
                <w:sz w:val="24"/>
              </w:rPr>
              <w:t>Accounting</w:t>
            </w:r>
            <w:r>
              <w:rPr>
                <w:spacing w:val="-7"/>
                <w:sz w:val="24"/>
              </w:rPr>
              <w:t> </w:t>
            </w:r>
            <w:r>
              <w:rPr>
                <w:sz w:val="24"/>
              </w:rPr>
              <w:t>Standards</w:t>
            </w:r>
            <w:r>
              <w:rPr>
                <w:spacing w:val="-7"/>
                <w:sz w:val="24"/>
              </w:rPr>
              <w:t> </w:t>
            </w:r>
            <w:r>
              <w:rPr>
                <w:sz w:val="24"/>
              </w:rPr>
              <w:t>for Direct Loans and Loan Guarantees in SFFAS 2;</w:t>
            </w:r>
          </w:p>
          <w:p>
            <w:pPr>
              <w:pStyle w:val="TableParagraph"/>
              <w:numPr>
                <w:ilvl w:val="0"/>
                <w:numId w:val="9"/>
              </w:numPr>
              <w:tabs>
                <w:tab w:pos="328" w:val="left" w:leader="none"/>
              </w:tabs>
              <w:spacing w:line="216" w:lineRule="auto" w:before="1" w:after="0"/>
              <w:ind w:left="327" w:right="792" w:hanging="216"/>
              <w:jc w:val="left"/>
              <w:rPr>
                <w:sz w:val="24"/>
              </w:rPr>
            </w:pPr>
            <w:hyperlink r:id="rId23">
              <w:r>
                <w:rPr>
                  <w:color w:val="0000FF"/>
                  <w:sz w:val="24"/>
                </w:rPr>
                <w:t>SFFAS 19</w:t>
              </w:r>
            </w:hyperlink>
            <w:r>
              <w:rPr>
                <w:sz w:val="24"/>
              </w:rPr>
              <w:t>: Technical Amendments of Accounting Standards</w:t>
            </w:r>
            <w:r>
              <w:rPr>
                <w:spacing w:val="-6"/>
                <w:sz w:val="24"/>
              </w:rPr>
              <w:t> </w:t>
            </w:r>
            <w:r>
              <w:rPr>
                <w:sz w:val="24"/>
              </w:rPr>
              <w:t>for</w:t>
            </w:r>
            <w:r>
              <w:rPr>
                <w:spacing w:val="-6"/>
                <w:sz w:val="24"/>
              </w:rPr>
              <w:t> </w:t>
            </w:r>
            <w:r>
              <w:rPr>
                <w:sz w:val="24"/>
              </w:rPr>
              <w:t>Direct</w:t>
            </w:r>
            <w:r>
              <w:rPr>
                <w:spacing w:val="-5"/>
                <w:sz w:val="24"/>
              </w:rPr>
              <w:t> </w:t>
            </w:r>
            <w:r>
              <w:rPr>
                <w:sz w:val="24"/>
              </w:rPr>
              <w:t>Loans</w:t>
            </w:r>
            <w:r>
              <w:rPr>
                <w:spacing w:val="-6"/>
                <w:sz w:val="24"/>
              </w:rPr>
              <w:t> </w:t>
            </w:r>
            <w:r>
              <w:rPr>
                <w:sz w:val="24"/>
              </w:rPr>
              <w:t>and</w:t>
            </w:r>
            <w:r>
              <w:rPr>
                <w:spacing w:val="-6"/>
                <w:sz w:val="24"/>
              </w:rPr>
              <w:t> </w:t>
            </w:r>
            <w:r>
              <w:rPr>
                <w:sz w:val="24"/>
              </w:rPr>
              <w:t>Loan</w:t>
            </w:r>
            <w:r>
              <w:rPr>
                <w:spacing w:val="-6"/>
                <w:sz w:val="24"/>
              </w:rPr>
              <w:t> </w:t>
            </w:r>
            <w:r>
              <w:rPr>
                <w:sz w:val="24"/>
              </w:rPr>
              <w:t>Guarantees</w:t>
            </w:r>
            <w:r>
              <w:rPr>
                <w:spacing w:val="-6"/>
                <w:sz w:val="24"/>
              </w:rPr>
              <w:t> </w:t>
            </w:r>
            <w:r>
              <w:rPr>
                <w:sz w:val="24"/>
              </w:rPr>
              <w:t>in SFFAS</w:t>
            </w:r>
            <w:r>
              <w:rPr>
                <w:spacing w:val="-2"/>
                <w:sz w:val="24"/>
              </w:rPr>
              <w:t> </w:t>
            </w:r>
            <w:r>
              <w:rPr>
                <w:sz w:val="24"/>
              </w:rPr>
              <w:t>2;</w:t>
            </w:r>
          </w:p>
          <w:p>
            <w:pPr>
              <w:pStyle w:val="TableParagraph"/>
              <w:numPr>
                <w:ilvl w:val="0"/>
                <w:numId w:val="9"/>
              </w:numPr>
              <w:tabs>
                <w:tab w:pos="328" w:val="left" w:leader="none"/>
              </w:tabs>
              <w:spacing w:line="216" w:lineRule="auto" w:before="0" w:after="0"/>
              <w:ind w:left="327" w:right="233" w:hanging="216"/>
              <w:jc w:val="left"/>
              <w:rPr>
                <w:sz w:val="24"/>
              </w:rPr>
            </w:pPr>
            <w:hyperlink r:id="rId24">
              <w:r>
                <w:rPr>
                  <w:color w:val="0000FF"/>
                  <w:sz w:val="24"/>
                </w:rPr>
                <w:t>SFFAS 23</w:t>
              </w:r>
            </w:hyperlink>
            <w:r>
              <w:rPr>
                <w:sz w:val="24"/>
              </w:rPr>
              <w:t>: Eliminating the Category National Defense Property,</w:t>
            </w:r>
            <w:r>
              <w:rPr>
                <w:spacing w:val="-6"/>
                <w:sz w:val="24"/>
              </w:rPr>
              <w:t> </w:t>
            </w:r>
            <w:r>
              <w:rPr>
                <w:sz w:val="24"/>
              </w:rPr>
              <w:t>Plant,</w:t>
            </w:r>
            <w:r>
              <w:rPr>
                <w:spacing w:val="-6"/>
                <w:sz w:val="24"/>
              </w:rPr>
              <w:t> </w:t>
            </w:r>
            <w:r>
              <w:rPr>
                <w:sz w:val="24"/>
              </w:rPr>
              <w:t>and</w:t>
            </w:r>
            <w:r>
              <w:rPr>
                <w:spacing w:val="-6"/>
                <w:sz w:val="24"/>
              </w:rPr>
              <w:t> </w:t>
            </w:r>
            <w:r>
              <w:rPr>
                <w:sz w:val="24"/>
              </w:rPr>
              <w:t>Equipment:</w:t>
            </w:r>
            <w:r>
              <w:rPr>
                <w:spacing w:val="-6"/>
                <w:sz w:val="24"/>
              </w:rPr>
              <w:t> </w:t>
            </w:r>
            <w:r>
              <w:rPr>
                <w:sz w:val="24"/>
              </w:rPr>
              <w:t>Amending</w:t>
            </w:r>
            <w:r>
              <w:rPr>
                <w:spacing w:val="-6"/>
                <w:sz w:val="24"/>
              </w:rPr>
              <w:t> </w:t>
            </w:r>
            <w:r>
              <w:rPr>
                <w:sz w:val="24"/>
              </w:rPr>
              <w:t>SFFAS</w:t>
            </w:r>
            <w:r>
              <w:rPr>
                <w:spacing w:val="-6"/>
                <w:sz w:val="24"/>
              </w:rPr>
              <w:t> </w:t>
            </w:r>
            <w:r>
              <w:rPr>
                <w:sz w:val="24"/>
              </w:rPr>
              <w:t>6</w:t>
            </w:r>
            <w:r>
              <w:rPr>
                <w:spacing w:val="-6"/>
                <w:sz w:val="24"/>
              </w:rPr>
              <w:t> </w:t>
            </w:r>
            <w:r>
              <w:rPr>
                <w:sz w:val="24"/>
              </w:rPr>
              <w:t>and 8, and Rescinding SFFAS 11;</w:t>
            </w:r>
          </w:p>
          <w:p>
            <w:pPr>
              <w:pStyle w:val="TableParagraph"/>
              <w:numPr>
                <w:ilvl w:val="0"/>
                <w:numId w:val="9"/>
              </w:numPr>
              <w:tabs>
                <w:tab w:pos="328" w:val="left" w:leader="none"/>
              </w:tabs>
              <w:spacing w:line="255" w:lineRule="exact" w:before="0" w:after="0"/>
              <w:ind w:left="327" w:right="0" w:hanging="217"/>
              <w:jc w:val="left"/>
              <w:rPr>
                <w:sz w:val="24"/>
              </w:rPr>
            </w:pPr>
            <w:hyperlink r:id="rId25">
              <w:r>
                <w:rPr>
                  <w:color w:val="0000FF"/>
                  <w:sz w:val="24"/>
                </w:rPr>
                <w:t>SFFAS</w:t>
              </w:r>
              <w:r>
                <w:rPr>
                  <w:color w:val="0000FF"/>
                  <w:spacing w:val="-6"/>
                  <w:sz w:val="24"/>
                </w:rPr>
                <w:t> </w:t>
              </w:r>
              <w:r>
                <w:rPr>
                  <w:color w:val="0000FF"/>
                  <w:sz w:val="24"/>
                </w:rPr>
                <w:t>29</w:t>
              </w:r>
            </w:hyperlink>
            <w:r>
              <w:rPr>
                <w:sz w:val="24"/>
              </w:rPr>
              <w:t>:</w:t>
            </w:r>
            <w:r>
              <w:rPr>
                <w:spacing w:val="-3"/>
                <w:sz w:val="24"/>
              </w:rPr>
              <w:t> </w:t>
            </w:r>
            <w:r>
              <w:rPr>
                <w:sz w:val="24"/>
              </w:rPr>
              <w:t>Heritage</w:t>
            </w:r>
            <w:r>
              <w:rPr>
                <w:spacing w:val="-3"/>
                <w:sz w:val="24"/>
              </w:rPr>
              <w:t> </w:t>
            </w:r>
            <w:r>
              <w:rPr>
                <w:sz w:val="24"/>
              </w:rPr>
              <w:t>Assets</w:t>
            </w:r>
            <w:r>
              <w:rPr>
                <w:spacing w:val="-4"/>
                <w:sz w:val="24"/>
              </w:rPr>
              <w:t> </w:t>
            </w:r>
            <w:r>
              <w:rPr>
                <w:sz w:val="24"/>
              </w:rPr>
              <w:t>and</w:t>
            </w:r>
            <w:r>
              <w:rPr>
                <w:spacing w:val="-3"/>
                <w:sz w:val="24"/>
              </w:rPr>
              <w:t> </w:t>
            </w:r>
            <w:r>
              <w:rPr>
                <w:sz w:val="24"/>
              </w:rPr>
              <w:t>Stewardship</w:t>
            </w:r>
            <w:r>
              <w:rPr>
                <w:spacing w:val="-7"/>
                <w:sz w:val="24"/>
              </w:rPr>
              <w:t> </w:t>
            </w:r>
            <w:r>
              <w:rPr>
                <w:spacing w:val="-2"/>
                <w:sz w:val="24"/>
              </w:rPr>
              <w:t>Land;</w:t>
            </w:r>
          </w:p>
          <w:p>
            <w:pPr>
              <w:pStyle w:val="TableParagraph"/>
              <w:numPr>
                <w:ilvl w:val="0"/>
                <w:numId w:val="9"/>
              </w:numPr>
              <w:tabs>
                <w:tab w:pos="328" w:val="left" w:leader="none"/>
              </w:tabs>
              <w:spacing w:line="213" w:lineRule="auto" w:before="12" w:after="0"/>
              <w:ind w:left="327" w:right="1300" w:hanging="216"/>
              <w:jc w:val="left"/>
              <w:rPr>
                <w:sz w:val="24"/>
              </w:rPr>
            </w:pPr>
            <w:hyperlink r:id="rId26">
              <w:r>
                <w:rPr>
                  <w:color w:val="0000FF"/>
                  <w:sz w:val="24"/>
                </w:rPr>
                <w:t>SFFAS</w:t>
              </w:r>
              <w:r>
                <w:rPr>
                  <w:color w:val="0000FF"/>
                  <w:spacing w:val="-6"/>
                  <w:sz w:val="24"/>
                </w:rPr>
                <w:t> </w:t>
              </w:r>
              <w:r>
                <w:rPr>
                  <w:color w:val="0000FF"/>
                  <w:sz w:val="24"/>
                </w:rPr>
                <w:t>38</w:t>
              </w:r>
            </w:hyperlink>
            <w:r>
              <w:rPr>
                <w:sz w:val="24"/>
              </w:rPr>
              <w:t>:</w:t>
            </w:r>
            <w:r>
              <w:rPr>
                <w:spacing w:val="-5"/>
                <w:sz w:val="24"/>
              </w:rPr>
              <w:t> </w:t>
            </w:r>
            <w:r>
              <w:rPr>
                <w:sz w:val="24"/>
              </w:rPr>
              <w:t>Accounting</w:t>
            </w:r>
            <w:r>
              <w:rPr>
                <w:spacing w:val="-6"/>
                <w:sz w:val="24"/>
              </w:rPr>
              <w:t> </w:t>
            </w:r>
            <w:r>
              <w:rPr>
                <w:sz w:val="24"/>
              </w:rPr>
              <w:t>for</w:t>
            </w:r>
            <w:r>
              <w:rPr>
                <w:spacing w:val="-6"/>
                <w:sz w:val="24"/>
              </w:rPr>
              <w:t> </w:t>
            </w:r>
            <w:r>
              <w:rPr>
                <w:sz w:val="24"/>
              </w:rPr>
              <w:t>Federal</w:t>
            </w:r>
            <w:r>
              <w:rPr>
                <w:spacing w:val="-6"/>
                <w:sz w:val="24"/>
              </w:rPr>
              <w:t> </w:t>
            </w:r>
            <w:r>
              <w:rPr>
                <w:sz w:val="24"/>
              </w:rPr>
              <w:t>Oil</w:t>
            </w:r>
            <w:r>
              <w:rPr>
                <w:spacing w:val="-6"/>
                <w:sz w:val="24"/>
              </w:rPr>
              <w:t> </w:t>
            </w:r>
            <w:r>
              <w:rPr>
                <w:sz w:val="24"/>
              </w:rPr>
              <w:t>and</w:t>
            </w:r>
            <w:r>
              <w:rPr>
                <w:spacing w:val="-6"/>
                <w:sz w:val="24"/>
              </w:rPr>
              <w:t> </w:t>
            </w:r>
            <w:r>
              <w:rPr>
                <w:sz w:val="24"/>
              </w:rPr>
              <w:t>Gas </w:t>
            </w:r>
            <w:r>
              <w:rPr>
                <w:spacing w:val="-2"/>
                <w:sz w:val="24"/>
              </w:rPr>
              <w:t>Resources;</w:t>
            </w:r>
          </w:p>
          <w:p>
            <w:pPr>
              <w:pStyle w:val="TableParagraph"/>
              <w:numPr>
                <w:ilvl w:val="0"/>
                <w:numId w:val="9"/>
              </w:numPr>
              <w:tabs>
                <w:tab w:pos="328" w:val="left" w:leader="none"/>
              </w:tabs>
              <w:spacing w:line="216" w:lineRule="auto" w:before="2" w:after="0"/>
              <w:ind w:left="327" w:right="672" w:hanging="216"/>
              <w:jc w:val="left"/>
              <w:rPr>
                <w:sz w:val="24"/>
              </w:rPr>
            </w:pPr>
            <w:hyperlink r:id="rId27">
              <w:r>
                <w:rPr>
                  <w:color w:val="0000FF"/>
                  <w:sz w:val="24"/>
                </w:rPr>
                <w:t>SFFAS</w:t>
              </w:r>
              <w:r>
                <w:rPr>
                  <w:color w:val="0000FF"/>
                  <w:spacing w:val="-7"/>
                  <w:sz w:val="24"/>
                </w:rPr>
                <w:t> </w:t>
              </w:r>
              <w:r>
                <w:rPr>
                  <w:color w:val="0000FF"/>
                  <w:sz w:val="24"/>
                </w:rPr>
                <w:t>40</w:t>
              </w:r>
            </w:hyperlink>
            <w:r>
              <w:rPr>
                <w:sz w:val="24"/>
              </w:rPr>
              <w:t>:</w:t>
            </w:r>
            <w:r>
              <w:rPr>
                <w:spacing w:val="-6"/>
                <w:sz w:val="24"/>
              </w:rPr>
              <w:t> </w:t>
            </w:r>
            <w:r>
              <w:rPr>
                <w:sz w:val="24"/>
              </w:rPr>
              <w:t>Definitional</w:t>
            </w:r>
            <w:r>
              <w:rPr>
                <w:spacing w:val="-7"/>
                <w:sz w:val="24"/>
              </w:rPr>
              <w:t> </w:t>
            </w:r>
            <w:r>
              <w:rPr>
                <w:sz w:val="24"/>
              </w:rPr>
              <w:t>Changes</w:t>
            </w:r>
            <w:r>
              <w:rPr>
                <w:spacing w:val="-7"/>
                <w:sz w:val="24"/>
              </w:rPr>
              <w:t> </w:t>
            </w:r>
            <w:r>
              <w:rPr>
                <w:sz w:val="24"/>
              </w:rPr>
              <w:t>Related</w:t>
            </w:r>
            <w:r>
              <w:rPr>
                <w:spacing w:val="-7"/>
                <w:sz w:val="24"/>
              </w:rPr>
              <w:t> </w:t>
            </w:r>
            <w:r>
              <w:rPr>
                <w:sz w:val="24"/>
              </w:rPr>
              <w:t>to</w:t>
            </w:r>
            <w:r>
              <w:rPr>
                <w:spacing w:val="-7"/>
                <w:sz w:val="24"/>
              </w:rPr>
              <w:t> </w:t>
            </w:r>
            <w:r>
              <w:rPr>
                <w:sz w:val="24"/>
              </w:rPr>
              <w:t>Deferred Maintenance and Repairs: Amending SFFAS 6, Accounting for Property, Plant, and</w:t>
            </w:r>
            <w:r>
              <w:rPr>
                <w:spacing w:val="-17"/>
                <w:sz w:val="24"/>
              </w:rPr>
              <w:t> </w:t>
            </w:r>
            <w:r>
              <w:rPr>
                <w:sz w:val="24"/>
              </w:rPr>
              <w:t>Equipment;</w:t>
            </w:r>
          </w:p>
          <w:p>
            <w:pPr>
              <w:pStyle w:val="TableParagraph"/>
              <w:numPr>
                <w:ilvl w:val="0"/>
                <w:numId w:val="9"/>
              </w:numPr>
              <w:tabs>
                <w:tab w:pos="328" w:val="left" w:leader="none"/>
              </w:tabs>
              <w:spacing w:line="213" w:lineRule="auto" w:before="3" w:after="0"/>
              <w:ind w:left="327" w:right="100" w:hanging="216"/>
              <w:jc w:val="left"/>
              <w:rPr>
                <w:sz w:val="24"/>
              </w:rPr>
            </w:pPr>
            <w:hyperlink r:id="rId28">
              <w:r>
                <w:rPr>
                  <w:color w:val="0000FF"/>
                  <w:sz w:val="24"/>
                </w:rPr>
                <w:t>SFFAS</w:t>
              </w:r>
              <w:r>
                <w:rPr>
                  <w:color w:val="0000FF"/>
                  <w:spacing w:val="-7"/>
                  <w:sz w:val="24"/>
                </w:rPr>
                <w:t> </w:t>
              </w:r>
              <w:r>
                <w:rPr>
                  <w:color w:val="0000FF"/>
                  <w:sz w:val="24"/>
                </w:rPr>
                <w:t>42</w:t>
              </w:r>
            </w:hyperlink>
            <w:r>
              <w:rPr>
                <w:sz w:val="24"/>
              </w:rPr>
              <w:t>:</w:t>
            </w:r>
            <w:r>
              <w:rPr>
                <w:spacing w:val="-6"/>
                <w:sz w:val="24"/>
              </w:rPr>
              <w:t> </w:t>
            </w:r>
            <w:r>
              <w:rPr>
                <w:sz w:val="24"/>
              </w:rPr>
              <w:t>Deferred</w:t>
            </w:r>
            <w:r>
              <w:rPr>
                <w:spacing w:val="-8"/>
                <w:sz w:val="24"/>
              </w:rPr>
              <w:t> </w:t>
            </w:r>
            <w:r>
              <w:rPr>
                <w:sz w:val="24"/>
              </w:rPr>
              <w:t>Maintenance</w:t>
            </w:r>
            <w:r>
              <w:rPr>
                <w:spacing w:val="-7"/>
                <w:sz w:val="24"/>
              </w:rPr>
              <w:t> </w:t>
            </w:r>
            <w:r>
              <w:rPr>
                <w:sz w:val="24"/>
              </w:rPr>
              <w:t>and</w:t>
            </w:r>
            <w:r>
              <w:rPr>
                <w:spacing w:val="-7"/>
                <w:sz w:val="24"/>
              </w:rPr>
              <w:t> </w:t>
            </w:r>
            <w:r>
              <w:rPr>
                <w:sz w:val="24"/>
              </w:rPr>
              <w:t>Repairs:</w:t>
            </w:r>
            <w:r>
              <w:rPr>
                <w:spacing w:val="-6"/>
                <w:sz w:val="24"/>
              </w:rPr>
              <w:t> </w:t>
            </w:r>
            <w:r>
              <w:rPr>
                <w:sz w:val="24"/>
              </w:rPr>
              <w:t>Amending SFFAS 6, 14, 29, and 32;</w:t>
            </w:r>
          </w:p>
          <w:p>
            <w:pPr>
              <w:pStyle w:val="TableParagraph"/>
              <w:numPr>
                <w:ilvl w:val="0"/>
                <w:numId w:val="9"/>
              </w:numPr>
              <w:tabs>
                <w:tab w:pos="328" w:val="left" w:leader="none"/>
              </w:tabs>
              <w:spacing w:line="258" w:lineRule="exact" w:before="0" w:after="0"/>
              <w:ind w:left="327" w:right="0" w:hanging="217"/>
              <w:jc w:val="left"/>
              <w:rPr>
                <w:sz w:val="24"/>
              </w:rPr>
            </w:pPr>
            <w:hyperlink r:id="rId29">
              <w:r>
                <w:rPr>
                  <w:color w:val="0000FF"/>
                  <w:sz w:val="24"/>
                </w:rPr>
                <w:t>SFFAS</w:t>
              </w:r>
              <w:r>
                <w:rPr>
                  <w:color w:val="0000FF"/>
                  <w:spacing w:val="-3"/>
                  <w:sz w:val="24"/>
                </w:rPr>
                <w:t> </w:t>
              </w:r>
              <w:r>
                <w:rPr>
                  <w:color w:val="0000FF"/>
                  <w:sz w:val="24"/>
                </w:rPr>
                <w:t>53</w:t>
              </w:r>
            </w:hyperlink>
            <w:r>
              <w:rPr>
                <w:sz w:val="24"/>
              </w:rPr>
              <w:t>:</w:t>
            </w:r>
            <w:r>
              <w:rPr>
                <w:spacing w:val="-3"/>
                <w:sz w:val="24"/>
              </w:rPr>
              <w:t> </w:t>
            </w:r>
            <w:r>
              <w:rPr>
                <w:sz w:val="24"/>
              </w:rPr>
              <w:t>Budget</w:t>
            </w:r>
            <w:r>
              <w:rPr>
                <w:spacing w:val="-3"/>
                <w:sz w:val="24"/>
              </w:rPr>
              <w:t> </w:t>
            </w:r>
            <w:r>
              <w:rPr>
                <w:sz w:val="24"/>
              </w:rPr>
              <w:t>and</w:t>
            </w:r>
            <w:r>
              <w:rPr>
                <w:spacing w:val="-3"/>
                <w:sz w:val="24"/>
              </w:rPr>
              <w:t> </w:t>
            </w:r>
            <w:r>
              <w:rPr>
                <w:sz w:val="24"/>
              </w:rPr>
              <w:t>Accrual</w:t>
            </w:r>
            <w:r>
              <w:rPr>
                <w:spacing w:val="-4"/>
                <w:sz w:val="24"/>
              </w:rPr>
              <w:t> </w:t>
            </w:r>
            <w:r>
              <w:rPr>
                <w:spacing w:val="-2"/>
                <w:sz w:val="24"/>
              </w:rPr>
              <w:t>Reconciliation.</w:t>
            </w:r>
          </w:p>
          <w:p>
            <w:pPr>
              <w:pStyle w:val="TableParagraph"/>
              <w:numPr>
                <w:ilvl w:val="0"/>
                <w:numId w:val="9"/>
              </w:numPr>
              <w:tabs>
                <w:tab w:pos="328" w:val="left" w:leader="none"/>
              </w:tabs>
              <w:spacing w:line="262" w:lineRule="exact" w:before="0" w:after="0"/>
              <w:ind w:left="327" w:right="0" w:hanging="217"/>
              <w:jc w:val="left"/>
              <w:rPr>
                <w:sz w:val="24"/>
              </w:rPr>
            </w:pPr>
            <w:hyperlink r:id="rId30">
              <w:r>
                <w:rPr>
                  <w:color w:val="0000FF"/>
                  <w:sz w:val="24"/>
                  <w:u w:val="single" w:color="0000FF"/>
                </w:rPr>
                <w:t>SFFAS</w:t>
              </w:r>
              <w:r>
                <w:rPr>
                  <w:color w:val="0000FF"/>
                  <w:spacing w:val="-4"/>
                  <w:sz w:val="24"/>
                  <w:u w:val="single" w:color="0000FF"/>
                </w:rPr>
                <w:t> </w:t>
              </w:r>
              <w:r>
                <w:rPr>
                  <w:color w:val="0000FF"/>
                  <w:sz w:val="24"/>
                  <w:u w:val="single" w:color="0000FF"/>
                </w:rPr>
                <w:t>57</w:t>
              </w:r>
            </w:hyperlink>
            <w:r>
              <w:rPr>
                <w:sz w:val="24"/>
              </w:rPr>
              <w:t>:</w:t>
            </w:r>
            <w:r>
              <w:rPr>
                <w:spacing w:val="-3"/>
                <w:sz w:val="24"/>
              </w:rPr>
              <w:t> </w:t>
            </w:r>
            <w:r>
              <w:rPr>
                <w:sz w:val="24"/>
              </w:rPr>
              <w:t>Omnibus</w:t>
            </w:r>
            <w:r>
              <w:rPr>
                <w:spacing w:val="-4"/>
                <w:sz w:val="24"/>
              </w:rPr>
              <w:t> </w:t>
            </w:r>
            <w:r>
              <w:rPr>
                <w:sz w:val="24"/>
              </w:rPr>
              <w:t>Amendments</w:t>
            </w:r>
            <w:r>
              <w:rPr>
                <w:spacing w:val="-3"/>
                <w:sz w:val="24"/>
              </w:rPr>
              <w:t> </w:t>
            </w:r>
            <w:r>
              <w:rPr>
                <w:spacing w:val="-4"/>
                <w:sz w:val="24"/>
              </w:rPr>
              <w:t>2019</w:t>
            </w:r>
          </w:p>
        </w:tc>
      </w:tr>
    </w:tbl>
    <w:p>
      <w:pPr>
        <w:spacing w:after="0" w:line="262" w:lineRule="exact"/>
        <w:jc w:val="left"/>
        <w:rPr>
          <w:sz w:val="24"/>
        </w:rPr>
        <w:sectPr>
          <w:pgSz w:w="20160" w:h="12240" w:orient="landscape"/>
          <w:pgMar w:header="288" w:footer="728" w:top="1380" w:bottom="1681"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6917"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1.1.3.2</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124"/>
              <w:rPr>
                <w:sz w:val="24"/>
              </w:rPr>
            </w:pPr>
            <w:r>
              <w:rPr>
                <w:sz w:val="24"/>
              </w:rPr>
              <w:t>Determine asset value and provide</w:t>
            </w:r>
            <w:r>
              <w:rPr>
                <w:spacing w:val="-8"/>
                <w:sz w:val="24"/>
              </w:rPr>
              <w:t> </w:t>
            </w:r>
            <w:r>
              <w:rPr>
                <w:sz w:val="24"/>
              </w:rPr>
              <w:t>for</w:t>
            </w:r>
            <w:r>
              <w:rPr>
                <w:spacing w:val="-9"/>
                <w:sz w:val="24"/>
              </w:rPr>
              <w:t> </w:t>
            </w:r>
            <w:r>
              <w:rPr>
                <w:sz w:val="24"/>
              </w:rPr>
              <w:t>adjustments</w:t>
            </w:r>
            <w:r>
              <w:rPr>
                <w:spacing w:val="-8"/>
                <w:sz w:val="24"/>
              </w:rPr>
              <w:t> </w:t>
            </w:r>
            <w:r>
              <w:rPr>
                <w:sz w:val="24"/>
              </w:rPr>
              <w:t>–</w:t>
            </w:r>
            <w:r>
              <w:rPr>
                <w:spacing w:val="-8"/>
                <w:sz w:val="24"/>
              </w:rPr>
              <w:t> </w:t>
            </w:r>
            <w:r>
              <w:rPr>
                <w:sz w:val="24"/>
              </w:rPr>
              <w:t>such</w:t>
            </w:r>
            <w:r>
              <w:rPr>
                <w:spacing w:val="-8"/>
                <w:sz w:val="24"/>
              </w:rPr>
              <w:t> </w:t>
            </w:r>
            <w:r>
              <w:rPr>
                <w:sz w:val="24"/>
              </w:rPr>
              <w:t>as depreciation, impairment, allowance for uncollectible amounts, and subsidy allowance – consistent with FASAB </w:t>
            </w:r>
            <w:r>
              <w:rPr>
                <w:spacing w:val="-2"/>
                <w:sz w:val="24"/>
              </w:rPr>
              <w:t>Handbook.</w:t>
            </w:r>
          </w:p>
        </w:tc>
        <w:tc>
          <w:tcPr>
            <w:tcW w:w="6628" w:type="dxa"/>
          </w:tcPr>
          <w:p>
            <w:pPr>
              <w:pStyle w:val="TableParagraph"/>
              <w:numPr>
                <w:ilvl w:val="0"/>
                <w:numId w:val="10"/>
              </w:numPr>
              <w:tabs>
                <w:tab w:pos="328" w:val="left" w:leader="none"/>
              </w:tabs>
              <w:spacing w:line="247" w:lineRule="exact" w:before="0" w:after="0"/>
              <w:ind w:left="327" w:right="0" w:hanging="217"/>
              <w:jc w:val="left"/>
              <w:rPr>
                <w:sz w:val="24"/>
              </w:rPr>
            </w:pPr>
            <w:hyperlink r:id="rId16">
              <w:r>
                <w:rPr>
                  <w:color w:val="0000FF"/>
                  <w:sz w:val="24"/>
                </w:rPr>
                <w:t>SFFAS</w:t>
              </w:r>
              <w:r>
                <w:rPr>
                  <w:color w:val="0000FF"/>
                  <w:spacing w:val="-5"/>
                  <w:sz w:val="24"/>
                </w:rPr>
                <w:t> </w:t>
              </w:r>
              <w:r>
                <w:rPr>
                  <w:color w:val="0000FF"/>
                  <w:sz w:val="24"/>
                </w:rPr>
                <w:t>1</w:t>
              </w:r>
            </w:hyperlink>
            <w:r>
              <w:rPr>
                <w:sz w:val="24"/>
              </w:rPr>
              <w:t>:</w:t>
            </w:r>
            <w:r>
              <w:rPr>
                <w:spacing w:val="-4"/>
                <w:sz w:val="24"/>
              </w:rPr>
              <w:t> </w:t>
            </w:r>
            <w:r>
              <w:rPr>
                <w:sz w:val="24"/>
              </w:rPr>
              <w:t>Accounting</w:t>
            </w:r>
            <w:r>
              <w:rPr>
                <w:spacing w:val="-2"/>
                <w:sz w:val="24"/>
              </w:rPr>
              <w:t> </w:t>
            </w:r>
            <w:r>
              <w:rPr>
                <w:sz w:val="24"/>
              </w:rPr>
              <w:t>for</w:t>
            </w:r>
            <w:r>
              <w:rPr>
                <w:spacing w:val="-3"/>
                <w:sz w:val="24"/>
              </w:rPr>
              <w:t> </w:t>
            </w:r>
            <w:r>
              <w:rPr>
                <w:sz w:val="24"/>
              </w:rPr>
              <w:t>Selected</w:t>
            </w:r>
            <w:r>
              <w:rPr>
                <w:spacing w:val="-3"/>
                <w:sz w:val="24"/>
              </w:rPr>
              <w:t> </w:t>
            </w:r>
            <w:r>
              <w:rPr>
                <w:sz w:val="24"/>
              </w:rPr>
              <w:t>Assets</w:t>
            </w:r>
            <w:r>
              <w:rPr>
                <w:spacing w:val="-3"/>
                <w:sz w:val="24"/>
              </w:rPr>
              <w:t> </w:t>
            </w:r>
            <w:r>
              <w:rPr>
                <w:sz w:val="24"/>
              </w:rPr>
              <w:t>and</w:t>
            </w:r>
            <w:r>
              <w:rPr>
                <w:spacing w:val="-13"/>
                <w:sz w:val="24"/>
              </w:rPr>
              <w:t> </w:t>
            </w:r>
            <w:r>
              <w:rPr>
                <w:spacing w:val="-2"/>
                <w:sz w:val="24"/>
              </w:rPr>
              <w:t>Liabilities;</w:t>
            </w:r>
          </w:p>
          <w:p>
            <w:pPr>
              <w:pStyle w:val="TableParagraph"/>
              <w:numPr>
                <w:ilvl w:val="0"/>
                <w:numId w:val="10"/>
              </w:numPr>
              <w:tabs>
                <w:tab w:pos="328" w:val="left" w:leader="none"/>
              </w:tabs>
              <w:spacing w:line="213" w:lineRule="auto" w:before="12" w:after="0"/>
              <w:ind w:left="327" w:right="1167" w:hanging="216"/>
              <w:jc w:val="left"/>
              <w:rPr>
                <w:sz w:val="24"/>
              </w:rPr>
            </w:pPr>
            <w:hyperlink r:id="rId17">
              <w:r>
                <w:rPr>
                  <w:color w:val="0000FF"/>
                  <w:sz w:val="24"/>
                </w:rPr>
                <w:t>SFFAS</w:t>
              </w:r>
              <w:r>
                <w:rPr>
                  <w:color w:val="0000FF"/>
                  <w:spacing w:val="-6"/>
                  <w:sz w:val="24"/>
                </w:rPr>
                <w:t> </w:t>
              </w:r>
              <w:r>
                <w:rPr>
                  <w:color w:val="0000FF"/>
                  <w:sz w:val="24"/>
                </w:rPr>
                <w:t>2</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Direct</w:t>
            </w:r>
            <w:r>
              <w:rPr>
                <w:spacing w:val="-8"/>
                <w:sz w:val="24"/>
              </w:rPr>
              <w:t> </w:t>
            </w:r>
            <w:r>
              <w:rPr>
                <w:sz w:val="24"/>
              </w:rPr>
              <w:t>Loans</w:t>
            </w:r>
            <w:r>
              <w:rPr>
                <w:spacing w:val="-6"/>
                <w:sz w:val="24"/>
              </w:rPr>
              <w:t> </w:t>
            </w:r>
            <w:r>
              <w:rPr>
                <w:sz w:val="24"/>
              </w:rPr>
              <w:t>and</w:t>
            </w:r>
            <w:r>
              <w:rPr>
                <w:spacing w:val="-5"/>
                <w:sz w:val="24"/>
              </w:rPr>
              <w:t> </w:t>
            </w:r>
            <w:r>
              <w:rPr>
                <w:sz w:val="24"/>
              </w:rPr>
              <w:t>Loan </w:t>
            </w:r>
            <w:r>
              <w:rPr>
                <w:spacing w:val="-2"/>
                <w:sz w:val="24"/>
              </w:rPr>
              <w:t>Guarantees;</w:t>
            </w:r>
          </w:p>
          <w:p>
            <w:pPr>
              <w:pStyle w:val="TableParagraph"/>
              <w:numPr>
                <w:ilvl w:val="0"/>
                <w:numId w:val="10"/>
              </w:numPr>
              <w:tabs>
                <w:tab w:pos="328" w:val="left" w:leader="none"/>
              </w:tabs>
              <w:spacing w:line="258" w:lineRule="exact" w:before="0" w:after="0"/>
              <w:ind w:left="327" w:right="0" w:hanging="217"/>
              <w:jc w:val="left"/>
              <w:rPr>
                <w:sz w:val="24"/>
              </w:rPr>
            </w:pPr>
            <w:hyperlink r:id="rId18">
              <w:r>
                <w:rPr>
                  <w:color w:val="0000FF"/>
                  <w:sz w:val="24"/>
                </w:rPr>
                <w:t>SFFAS</w:t>
              </w:r>
              <w:r>
                <w:rPr>
                  <w:color w:val="0000FF"/>
                  <w:spacing w:val="-5"/>
                  <w:sz w:val="24"/>
                </w:rPr>
                <w:t> </w:t>
              </w:r>
              <w:r>
                <w:rPr>
                  <w:color w:val="0000FF"/>
                  <w:sz w:val="24"/>
                </w:rPr>
                <w:t>3</w:t>
              </w:r>
            </w:hyperlink>
            <w:r>
              <w:rPr>
                <w:sz w:val="24"/>
              </w:rPr>
              <w:t>:</w:t>
            </w:r>
            <w:r>
              <w:rPr>
                <w:spacing w:val="-4"/>
                <w:sz w:val="24"/>
              </w:rPr>
              <w:t> </w:t>
            </w:r>
            <w:r>
              <w:rPr>
                <w:sz w:val="24"/>
              </w:rPr>
              <w:t>Accounting</w:t>
            </w:r>
            <w:r>
              <w:rPr>
                <w:spacing w:val="-3"/>
                <w:sz w:val="24"/>
              </w:rPr>
              <w:t> </w:t>
            </w:r>
            <w:r>
              <w:rPr>
                <w:sz w:val="24"/>
              </w:rPr>
              <w:t>for</w:t>
            </w:r>
            <w:r>
              <w:rPr>
                <w:spacing w:val="-4"/>
                <w:sz w:val="24"/>
              </w:rPr>
              <w:t> </w:t>
            </w:r>
            <w:r>
              <w:rPr>
                <w:sz w:val="24"/>
              </w:rPr>
              <w:t>Inventory</w:t>
            </w:r>
            <w:r>
              <w:rPr>
                <w:spacing w:val="-3"/>
                <w:sz w:val="24"/>
              </w:rPr>
              <w:t> </w:t>
            </w:r>
            <w:r>
              <w:rPr>
                <w:sz w:val="24"/>
              </w:rPr>
              <w:t>and</w:t>
            </w:r>
            <w:r>
              <w:rPr>
                <w:spacing w:val="-3"/>
                <w:sz w:val="24"/>
              </w:rPr>
              <w:t> </w:t>
            </w:r>
            <w:r>
              <w:rPr>
                <w:sz w:val="24"/>
              </w:rPr>
              <w:t>Related</w:t>
            </w:r>
            <w:r>
              <w:rPr>
                <w:spacing w:val="-43"/>
                <w:sz w:val="24"/>
              </w:rPr>
              <w:t> </w:t>
            </w:r>
            <w:r>
              <w:rPr>
                <w:spacing w:val="-2"/>
                <w:sz w:val="24"/>
              </w:rPr>
              <w:t>Property;</w:t>
            </w:r>
          </w:p>
          <w:p>
            <w:pPr>
              <w:pStyle w:val="TableParagraph"/>
              <w:numPr>
                <w:ilvl w:val="0"/>
                <w:numId w:val="10"/>
              </w:numPr>
              <w:tabs>
                <w:tab w:pos="328" w:val="left" w:leader="none"/>
              </w:tabs>
              <w:spacing w:line="265" w:lineRule="exact" w:before="0" w:after="0"/>
              <w:ind w:left="327" w:right="0" w:hanging="217"/>
              <w:jc w:val="left"/>
              <w:rPr>
                <w:sz w:val="24"/>
              </w:rPr>
            </w:pPr>
            <w:hyperlink r:id="rId19">
              <w:r>
                <w:rPr>
                  <w:color w:val="0000FF"/>
                  <w:sz w:val="24"/>
                </w:rPr>
                <w:t>SFFAS</w:t>
              </w:r>
              <w:r>
                <w:rPr>
                  <w:color w:val="0000FF"/>
                  <w:spacing w:val="-5"/>
                  <w:sz w:val="24"/>
                </w:rPr>
                <w:t> </w:t>
              </w:r>
              <w:r>
                <w:rPr>
                  <w:color w:val="0000FF"/>
                  <w:sz w:val="24"/>
                </w:rPr>
                <w:t>6</w:t>
              </w:r>
            </w:hyperlink>
            <w:r>
              <w:rPr>
                <w:sz w:val="24"/>
              </w:rPr>
              <w:t>:</w:t>
            </w:r>
            <w:r>
              <w:rPr>
                <w:spacing w:val="-5"/>
                <w:sz w:val="24"/>
              </w:rPr>
              <w:t> </w:t>
            </w:r>
            <w:r>
              <w:rPr>
                <w:sz w:val="24"/>
              </w:rPr>
              <w:t>Accounting</w:t>
            </w:r>
            <w:r>
              <w:rPr>
                <w:spacing w:val="-2"/>
                <w:sz w:val="24"/>
              </w:rPr>
              <w:t> </w:t>
            </w:r>
            <w:r>
              <w:rPr>
                <w:sz w:val="24"/>
              </w:rPr>
              <w:t>for</w:t>
            </w:r>
            <w:r>
              <w:rPr>
                <w:spacing w:val="-4"/>
                <w:sz w:val="24"/>
              </w:rPr>
              <w:t> </w:t>
            </w:r>
            <w:r>
              <w:rPr>
                <w:sz w:val="24"/>
              </w:rPr>
              <w:t>Property,</w:t>
            </w:r>
            <w:r>
              <w:rPr>
                <w:spacing w:val="-2"/>
                <w:sz w:val="24"/>
              </w:rPr>
              <w:t> </w:t>
            </w:r>
            <w:r>
              <w:rPr>
                <w:sz w:val="24"/>
              </w:rPr>
              <w:t>Plant,</w:t>
            </w:r>
            <w:r>
              <w:rPr>
                <w:spacing w:val="-2"/>
                <w:sz w:val="24"/>
              </w:rPr>
              <w:t> </w:t>
            </w:r>
            <w:r>
              <w:rPr>
                <w:sz w:val="24"/>
              </w:rPr>
              <w:t>and</w:t>
            </w:r>
            <w:r>
              <w:rPr>
                <w:spacing w:val="-40"/>
                <w:sz w:val="24"/>
              </w:rPr>
              <w:t> </w:t>
            </w:r>
            <w:r>
              <w:rPr>
                <w:spacing w:val="-2"/>
                <w:sz w:val="24"/>
              </w:rPr>
              <w:t>Equipment;</w:t>
            </w:r>
          </w:p>
          <w:p>
            <w:pPr>
              <w:pStyle w:val="TableParagraph"/>
              <w:numPr>
                <w:ilvl w:val="0"/>
                <w:numId w:val="10"/>
              </w:numPr>
              <w:tabs>
                <w:tab w:pos="328" w:val="left" w:leader="none"/>
              </w:tabs>
              <w:spacing w:line="265" w:lineRule="exact" w:before="0" w:after="0"/>
              <w:ind w:left="327" w:right="0" w:hanging="217"/>
              <w:jc w:val="left"/>
              <w:rPr>
                <w:sz w:val="24"/>
              </w:rPr>
            </w:pPr>
            <w:hyperlink r:id="rId21">
              <w:r>
                <w:rPr>
                  <w:color w:val="0000FF"/>
                  <w:sz w:val="24"/>
                </w:rPr>
                <w:t>SFFAS</w:t>
              </w:r>
              <w:r>
                <w:rPr>
                  <w:color w:val="0000FF"/>
                  <w:spacing w:val="-3"/>
                  <w:sz w:val="24"/>
                </w:rPr>
                <w:t> </w:t>
              </w:r>
              <w:r>
                <w:rPr>
                  <w:color w:val="0000FF"/>
                  <w:sz w:val="24"/>
                </w:rPr>
                <w:t>10</w:t>
              </w:r>
            </w:hyperlink>
            <w:r>
              <w:rPr>
                <w:sz w:val="24"/>
              </w:rPr>
              <w:t>:</w:t>
            </w:r>
            <w:r>
              <w:rPr>
                <w:spacing w:val="-2"/>
                <w:sz w:val="24"/>
              </w:rPr>
              <w:t> </w:t>
            </w:r>
            <w:r>
              <w:rPr>
                <w:sz w:val="24"/>
              </w:rPr>
              <w:t>Accounting</w:t>
            </w:r>
            <w:r>
              <w:rPr>
                <w:spacing w:val="-3"/>
                <w:sz w:val="24"/>
              </w:rPr>
              <w:t> </w:t>
            </w:r>
            <w:r>
              <w:rPr>
                <w:sz w:val="24"/>
              </w:rPr>
              <w:t>for</w:t>
            </w:r>
            <w:r>
              <w:rPr>
                <w:spacing w:val="-4"/>
                <w:sz w:val="24"/>
              </w:rPr>
              <w:t> </w:t>
            </w:r>
            <w:r>
              <w:rPr>
                <w:sz w:val="24"/>
              </w:rPr>
              <w:t>Internal</w:t>
            </w:r>
            <w:r>
              <w:rPr>
                <w:spacing w:val="-3"/>
                <w:sz w:val="24"/>
              </w:rPr>
              <w:t> </w:t>
            </w:r>
            <w:r>
              <w:rPr>
                <w:sz w:val="24"/>
              </w:rPr>
              <w:t>Use</w:t>
            </w:r>
            <w:r>
              <w:rPr>
                <w:spacing w:val="-7"/>
                <w:sz w:val="24"/>
              </w:rPr>
              <w:t> </w:t>
            </w:r>
            <w:r>
              <w:rPr>
                <w:spacing w:val="-2"/>
                <w:sz w:val="24"/>
              </w:rPr>
              <w:t>Software;</w:t>
            </w:r>
          </w:p>
          <w:p>
            <w:pPr>
              <w:pStyle w:val="TableParagraph"/>
              <w:numPr>
                <w:ilvl w:val="0"/>
                <w:numId w:val="10"/>
              </w:numPr>
              <w:tabs>
                <w:tab w:pos="328" w:val="left" w:leader="none"/>
              </w:tabs>
              <w:spacing w:line="213" w:lineRule="auto" w:before="12" w:after="0"/>
              <w:ind w:left="327" w:right="606" w:hanging="216"/>
              <w:jc w:val="left"/>
              <w:rPr>
                <w:sz w:val="24"/>
              </w:rPr>
            </w:pPr>
            <w:hyperlink r:id="rId22">
              <w:r>
                <w:rPr>
                  <w:color w:val="0000FF"/>
                  <w:sz w:val="24"/>
                </w:rPr>
                <w:t>SFFAS</w:t>
              </w:r>
              <w:r>
                <w:rPr>
                  <w:color w:val="0000FF"/>
                  <w:spacing w:val="-7"/>
                  <w:sz w:val="24"/>
                </w:rPr>
                <w:t> </w:t>
              </w:r>
              <w:r>
                <w:rPr>
                  <w:color w:val="0000FF"/>
                  <w:sz w:val="24"/>
                </w:rPr>
                <w:t>18</w:t>
              </w:r>
            </w:hyperlink>
            <w:r>
              <w:rPr>
                <w:sz w:val="24"/>
              </w:rPr>
              <w:t>:</w:t>
            </w:r>
            <w:r>
              <w:rPr>
                <w:spacing w:val="-6"/>
                <w:sz w:val="24"/>
              </w:rPr>
              <w:t> </w:t>
            </w:r>
            <w:r>
              <w:rPr>
                <w:sz w:val="24"/>
              </w:rPr>
              <w:t>Amendments</w:t>
            </w:r>
            <w:r>
              <w:rPr>
                <w:spacing w:val="-7"/>
                <w:sz w:val="24"/>
              </w:rPr>
              <w:t> </w:t>
            </w:r>
            <w:r>
              <w:rPr>
                <w:sz w:val="24"/>
              </w:rPr>
              <w:t>to</w:t>
            </w:r>
            <w:r>
              <w:rPr>
                <w:spacing w:val="-7"/>
                <w:sz w:val="24"/>
              </w:rPr>
              <w:t> </w:t>
            </w:r>
            <w:r>
              <w:rPr>
                <w:sz w:val="24"/>
              </w:rPr>
              <w:t>Accounting</w:t>
            </w:r>
            <w:r>
              <w:rPr>
                <w:spacing w:val="-7"/>
                <w:sz w:val="24"/>
              </w:rPr>
              <w:t> </w:t>
            </w:r>
            <w:r>
              <w:rPr>
                <w:sz w:val="24"/>
              </w:rPr>
              <w:t>Standards</w:t>
            </w:r>
            <w:r>
              <w:rPr>
                <w:spacing w:val="-7"/>
                <w:sz w:val="24"/>
              </w:rPr>
              <w:t> </w:t>
            </w:r>
            <w:r>
              <w:rPr>
                <w:sz w:val="24"/>
              </w:rPr>
              <w:t>for Direct Loans and Loan Guarantees in SFFAS 2;</w:t>
            </w:r>
          </w:p>
          <w:p>
            <w:pPr>
              <w:pStyle w:val="TableParagraph"/>
              <w:numPr>
                <w:ilvl w:val="0"/>
                <w:numId w:val="10"/>
              </w:numPr>
              <w:tabs>
                <w:tab w:pos="328" w:val="left" w:leader="none"/>
              </w:tabs>
              <w:spacing w:line="216" w:lineRule="auto" w:before="3" w:after="0"/>
              <w:ind w:left="327" w:right="792" w:hanging="216"/>
              <w:jc w:val="left"/>
              <w:rPr>
                <w:sz w:val="24"/>
              </w:rPr>
            </w:pPr>
            <w:hyperlink r:id="rId23">
              <w:r>
                <w:rPr>
                  <w:color w:val="0000FF"/>
                  <w:sz w:val="24"/>
                </w:rPr>
                <w:t>SFFAS 19</w:t>
              </w:r>
            </w:hyperlink>
            <w:r>
              <w:rPr>
                <w:sz w:val="24"/>
              </w:rPr>
              <w:t>: Technical Amendments of Accounting Standards</w:t>
            </w:r>
            <w:r>
              <w:rPr>
                <w:spacing w:val="-6"/>
                <w:sz w:val="24"/>
              </w:rPr>
              <w:t> </w:t>
            </w:r>
            <w:r>
              <w:rPr>
                <w:sz w:val="24"/>
              </w:rPr>
              <w:t>for</w:t>
            </w:r>
            <w:r>
              <w:rPr>
                <w:spacing w:val="-6"/>
                <w:sz w:val="24"/>
              </w:rPr>
              <w:t> </w:t>
            </w:r>
            <w:r>
              <w:rPr>
                <w:sz w:val="24"/>
              </w:rPr>
              <w:t>Direct</w:t>
            </w:r>
            <w:r>
              <w:rPr>
                <w:spacing w:val="-5"/>
                <w:sz w:val="24"/>
              </w:rPr>
              <w:t> </w:t>
            </w:r>
            <w:r>
              <w:rPr>
                <w:sz w:val="24"/>
              </w:rPr>
              <w:t>Loans</w:t>
            </w:r>
            <w:r>
              <w:rPr>
                <w:spacing w:val="-6"/>
                <w:sz w:val="24"/>
              </w:rPr>
              <w:t> </w:t>
            </w:r>
            <w:r>
              <w:rPr>
                <w:sz w:val="24"/>
              </w:rPr>
              <w:t>and</w:t>
            </w:r>
            <w:r>
              <w:rPr>
                <w:spacing w:val="-6"/>
                <w:sz w:val="24"/>
              </w:rPr>
              <w:t> </w:t>
            </w:r>
            <w:r>
              <w:rPr>
                <w:sz w:val="24"/>
              </w:rPr>
              <w:t>Loan</w:t>
            </w:r>
            <w:r>
              <w:rPr>
                <w:spacing w:val="-6"/>
                <w:sz w:val="24"/>
              </w:rPr>
              <w:t> </w:t>
            </w:r>
            <w:r>
              <w:rPr>
                <w:sz w:val="24"/>
              </w:rPr>
              <w:t>Guarantees</w:t>
            </w:r>
            <w:r>
              <w:rPr>
                <w:spacing w:val="-6"/>
                <w:sz w:val="24"/>
              </w:rPr>
              <w:t> </w:t>
            </w:r>
            <w:r>
              <w:rPr>
                <w:sz w:val="24"/>
              </w:rPr>
              <w:t>in SFFAS</w:t>
            </w:r>
            <w:r>
              <w:rPr>
                <w:spacing w:val="-4"/>
                <w:sz w:val="24"/>
              </w:rPr>
              <w:t> </w:t>
            </w:r>
            <w:r>
              <w:rPr>
                <w:sz w:val="24"/>
              </w:rPr>
              <w:t>2;</w:t>
            </w:r>
          </w:p>
          <w:p>
            <w:pPr>
              <w:pStyle w:val="TableParagraph"/>
              <w:numPr>
                <w:ilvl w:val="0"/>
                <w:numId w:val="10"/>
              </w:numPr>
              <w:tabs>
                <w:tab w:pos="328" w:val="left" w:leader="none"/>
              </w:tabs>
              <w:spacing w:line="216" w:lineRule="auto" w:before="0" w:after="0"/>
              <w:ind w:left="327" w:right="233" w:hanging="216"/>
              <w:jc w:val="left"/>
              <w:rPr>
                <w:sz w:val="24"/>
              </w:rPr>
            </w:pPr>
            <w:hyperlink r:id="rId24">
              <w:r>
                <w:rPr>
                  <w:color w:val="0000FF"/>
                  <w:sz w:val="24"/>
                </w:rPr>
                <w:t>SFFAS 23</w:t>
              </w:r>
            </w:hyperlink>
            <w:r>
              <w:rPr>
                <w:sz w:val="24"/>
              </w:rPr>
              <w:t>: Eliminating the Category National Defense Property,</w:t>
            </w:r>
            <w:r>
              <w:rPr>
                <w:spacing w:val="-6"/>
                <w:sz w:val="24"/>
              </w:rPr>
              <w:t> </w:t>
            </w:r>
            <w:r>
              <w:rPr>
                <w:sz w:val="24"/>
              </w:rPr>
              <w:t>Plant,</w:t>
            </w:r>
            <w:r>
              <w:rPr>
                <w:spacing w:val="-6"/>
                <w:sz w:val="24"/>
              </w:rPr>
              <w:t> </w:t>
            </w:r>
            <w:r>
              <w:rPr>
                <w:sz w:val="24"/>
              </w:rPr>
              <w:t>and</w:t>
            </w:r>
            <w:r>
              <w:rPr>
                <w:spacing w:val="-6"/>
                <w:sz w:val="24"/>
              </w:rPr>
              <w:t> </w:t>
            </w:r>
            <w:r>
              <w:rPr>
                <w:sz w:val="24"/>
              </w:rPr>
              <w:t>Equipment:</w:t>
            </w:r>
            <w:r>
              <w:rPr>
                <w:spacing w:val="-6"/>
                <w:sz w:val="24"/>
              </w:rPr>
              <w:t> </w:t>
            </w:r>
            <w:r>
              <w:rPr>
                <w:sz w:val="24"/>
              </w:rPr>
              <w:t>Amending</w:t>
            </w:r>
            <w:r>
              <w:rPr>
                <w:spacing w:val="-6"/>
                <w:sz w:val="24"/>
              </w:rPr>
              <w:t> </w:t>
            </w:r>
            <w:r>
              <w:rPr>
                <w:sz w:val="24"/>
              </w:rPr>
              <w:t>SFFAS</w:t>
            </w:r>
            <w:r>
              <w:rPr>
                <w:spacing w:val="-6"/>
                <w:sz w:val="24"/>
              </w:rPr>
              <w:t> </w:t>
            </w:r>
            <w:r>
              <w:rPr>
                <w:sz w:val="24"/>
              </w:rPr>
              <w:t>6</w:t>
            </w:r>
            <w:r>
              <w:rPr>
                <w:spacing w:val="-6"/>
                <w:sz w:val="24"/>
              </w:rPr>
              <w:t> </w:t>
            </w:r>
            <w:r>
              <w:rPr>
                <w:sz w:val="24"/>
              </w:rPr>
              <w:t>and 8, and Rescinding SFFAS 11;</w:t>
            </w:r>
          </w:p>
          <w:p>
            <w:pPr>
              <w:pStyle w:val="TableParagraph"/>
              <w:numPr>
                <w:ilvl w:val="0"/>
                <w:numId w:val="10"/>
              </w:numPr>
              <w:tabs>
                <w:tab w:pos="328" w:val="left" w:leader="none"/>
              </w:tabs>
              <w:spacing w:line="254" w:lineRule="exact" w:before="0" w:after="0"/>
              <w:ind w:left="327" w:right="0" w:hanging="217"/>
              <w:jc w:val="left"/>
              <w:rPr>
                <w:sz w:val="24"/>
              </w:rPr>
            </w:pPr>
            <w:hyperlink r:id="rId25">
              <w:r>
                <w:rPr>
                  <w:color w:val="0000FF"/>
                  <w:sz w:val="24"/>
                </w:rPr>
                <w:t>SFFAS</w:t>
              </w:r>
              <w:r>
                <w:rPr>
                  <w:color w:val="0000FF"/>
                  <w:spacing w:val="-6"/>
                  <w:sz w:val="24"/>
                </w:rPr>
                <w:t> </w:t>
              </w:r>
              <w:r>
                <w:rPr>
                  <w:color w:val="0000FF"/>
                  <w:sz w:val="24"/>
                </w:rPr>
                <w:t>29</w:t>
              </w:r>
            </w:hyperlink>
            <w:r>
              <w:rPr>
                <w:sz w:val="24"/>
              </w:rPr>
              <w:t>:</w:t>
            </w:r>
            <w:r>
              <w:rPr>
                <w:spacing w:val="-3"/>
                <w:sz w:val="24"/>
              </w:rPr>
              <w:t> </w:t>
            </w:r>
            <w:r>
              <w:rPr>
                <w:sz w:val="24"/>
              </w:rPr>
              <w:t>Heritage</w:t>
            </w:r>
            <w:r>
              <w:rPr>
                <w:spacing w:val="-3"/>
                <w:sz w:val="24"/>
              </w:rPr>
              <w:t> </w:t>
            </w:r>
            <w:r>
              <w:rPr>
                <w:sz w:val="24"/>
              </w:rPr>
              <w:t>Assets</w:t>
            </w:r>
            <w:r>
              <w:rPr>
                <w:spacing w:val="-4"/>
                <w:sz w:val="24"/>
              </w:rPr>
              <w:t> </w:t>
            </w:r>
            <w:r>
              <w:rPr>
                <w:sz w:val="24"/>
              </w:rPr>
              <w:t>and</w:t>
            </w:r>
            <w:r>
              <w:rPr>
                <w:spacing w:val="-3"/>
                <w:sz w:val="24"/>
              </w:rPr>
              <w:t> </w:t>
            </w:r>
            <w:r>
              <w:rPr>
                <w:sz w:val="24"/>
              </w:rPr>
              <w:t>Stewardship</w:t>
            </w:r>
            <w:r>
              <w:rPr>
                <w:spacing w:val="-7"/>
                <w:sz w:val="24"/>
              </w:rPr>
              <w:t> </w:t>
            </w:r>
            <w:r>
              <w:rPr>
                <w:spacing w:val="-2"/>
                <w:sz w:val="24"/>
              </w:rPr>
              <w:t>Land;</w:t>
            </w:r>
          </w:p>
          <w:p>
            <w:pPr>
              <w:pStyle w:val="TableParagraph"/>
              <w:numPr>
                <w:ilvl w:val="0"/>
                <w:numId w:val="10"/>
              </w:numPr>
              <w:tabs>
                <w:tab w:pos="328" w:val="left" w:leader="none"/>
              </w:tabs>
              <w:spacing w:line="216" w:lineRule="auto" w:before="9" w:after="0"/>
              <w:ind w:left="327" w:right="1300" w:hanging="216"/>
              <w:jc w:val="left"/>
              <w:rPr>
                <w:sz w:val="24"/>
              </w:rPr>
            </w:pPr>
            <w:hyperlink r:id="rId26">
              <w:r>
                <w:rPr>
                  <w:color w:val="0000FF"/>
                  <w:sz w:val="24"/>
                </w:rPr>
                <w:t>SFFAS</w:t>
              </w:r>
              <w:r>
                <w:rPr>
                  <w:color w:val="0000FF"/>
                  <w:spacing w:val="-6"/>
                  <w:sz w:val="24"/>
                </w:rPr>
                <w:t> </w:t>
              </w:r>
              <w:r>
                <w:rPr>
                  <w:color w:val="0000FF"/>
                  <w:sz w:val="24"/>
                </w:rPr>
                <w:t>38</w:t>
              </w:r>
            </w:hyperlink>
            <w:r>
              <w:rPr>
                <w:sz w:val="24"/>
              </w:rPr>
              <w:t>:</w:t>
            </w:r>
            <w:r>
              <w:rPr>
                <w:spacing w:val="-5"/>
                <w:sz w:val="24"/>
              </w:rPr>
              <w:t> </w:t>
            </w:r>
            <w:r>
              <w:rPr>
                <w:sz w:val="24"/>
              </w:rPr>
              <w:t>Accounting</w:t>
            </w:r>
            <w:r>
              <w:rPr>
                <w:spacing w:val="-6"/>
                <w:sz w:val="24"/>
              </w:rPr>
              <w:t> </w:t>
            </w:r>
            <w:r>
              <w:rPr>
                <w:sz w:val="24"/>
              </w:rPr>
              <w:t>for</w:t>
            </w:r>
            <w:r>
              <w:rPr>
                <w:spacing w:val="-6"/>
                <w:sz w:val="24"/>
              </w:rPr>
              <w:t> </w:t>
            </w:r>
            <w:r>
              <w:rPr>
                <w:sz w:val="24"/>
              </w:rPr>
              <w:t>Federal</w:t>
            </w:r>
            <w:r>
              <w:rPr>
                <w:spacing w:val="-6"/>
                <w:sz w:val="24"/>
              </w:rPr>
              <w:t> </w:t>
            </w:r>
            <w:r>
              <w:rPr>
                <w:sz w:val="24"/>
              </w:rPr>
              <w:t>Oil</w:t>
            </w:r>
            <w:r>
              <w:rPr>
                <w:spacing w:val="-6"/>
                <w:sz w:val="24"/>
              </w:rPr>
              <w:t> </w:t>
            </w:r>
            <w:r>
              <w:rPr>
                <w:sz w:val="24"/>
              </w:rPr>
              <w:t>and</w:t>
            </w:r>
            <w:r>
              <w:rPr>
                <w:spacing w:val="-6"/>
                <w:sz w:val="24"/>
              </w:rPr>
              <w:t> </w:t>
            </w:r>
            <w:r>
              <w:rPr>
                <w:sz w:val="24"/>
              </w:rPr>
              <w:t>Gas </w:t>
            </w:r>
            <w:r>
              <w:rPr>
                <w:spacing w:val="-2"/>
                <w:sz w:val="24"/>
              </w:rPr>
              <w:t>Resources;</w:t>
            </w:r>
          </w:p>
          <w:p>
            <w:pPr>
              <w:pStyle w:val="TableParagraph"/>
              <w:numPr>
                <w:ilvl w:val="0"/>
                <w:numId w:val="10"/>
              </w:numPr>
              <w:tabs>
                <w:tab w:pos="328" w:val="left" w:leader="none"/>
              </w:tabs>
              <w:spacing w:line="216" w:lineRule="auto" w:before="1" w:after="0"/>
              <w:ind w:left="327" w:right="674" w:hanging="216"/>
              <w:jc w:val="left"/>
              <w:rPr>
                <w:sz w:val="24"/>
              </w:rPr>
            </w:pPr>
            <w:hyperlink r:id="rId27">
              <w:r>
                <w:rPr>
                  <w:color w:val="0000FF"/>
                  <w:sz w:val="24"/>
                </w:rPr>
                <w:t>SFFAS</w:t>
              </w:r>
              <w:r>
                <w:rPr>
                  <w:color w:val="0000FF"/>
                  <w:spacing w:val="-7"/>
                  <w:sz w:val="24"/>
                </w:rPr>
                <w:t> </w:t>
              </w:r>
              <w:r>
                <w:rPr>
                  <w:color w:val="0000FF"/>
                  <w:sz w:val="24"/>
                </w:rPr>
                <w:t>40</w:t>
              </w:r>
            </w:hyperlink>
            <w:r>
              <w:rPr>
                <w:sz w:val="24"/>
              </w:rPr>
              <w:t>:</w:t>
            </w:r>
            <w:r>
              <w:rPr>
                <w:spacing w:val="-6"/>
                <w:sz w:val="24"/>
              </w:rPr>
              <w:t> </w:t>
            </w:r>
            <w:r>
              <w:rPr>
                <w:sz w:val="24"/>
              </w:rPr>
              <w:t>Definitional</w:t>
            </w:r>
            <w:r>
              <w:rPr>
                <w:spacing w:val="-7"/>
                <w:sz w:val="24"/>
              </w:rPr>
              <w:t> </w:t>
            </w:r>
            <w:r>
              <w:rPr>
                <w:sz w:val="24"/>
              </w:rPr>
              <w:t>Changes</w:t>
            </w:r>
            <w:r>
              <w:rPr>
                <w:spacing w:val="-7"/>
                <w:sz w:val="24"/>
              </w:rPr>
              <w:t> </w:t>
            </w:r>
            <w:r>
              <w:rPr>
                <w:sz w:val="24"/>
              </w:rPr>
              <w:t>Related</w:t>
            </w:r>
            <w:r>
              <w:rPr>
                <w:spacing w:val="-7"/>
                <w:sz w:val="24"/>
              </w:rPr>
              <w:t> </w:t>
            </w:r>
            <w:r>
              <w:rPr>
                <w:sz w:val="24"/>
              </w:rPr>
              <w:t>to</w:t>
            </w:r>
            <w:r>
              <w:rPr>
                <w:spacing w:val="-7"/>
                <w:sz w:val="24"/>
              </w:rPr>
              <w:t> </w:t>
            </w:r>
            <w:r>
              <w:rPr>
                <w:sz w:val="24"/>
              </w:rPr>
              <w:t>Deferred Maintenance and Repairs: Amending SFFAS 6, Accounting for Property, Plant, and</w:t>
            </w:r>
            <w:r>
              <w:rPr>
                <w:spacing w:val="-17"/>
                <w:sz w:val="24"/>
              </w:rPr>
              <w:t> </w:t>
            </w:r>
            <w:r>
              <w:rPr>
                <w:sz w:val="24"/>
              </w:rPr>
              <w:t>Equipment;</w:t>
            </w:r>
          </w:p>
          <w:p>
            <w:pPr>
              <w:pStyle w:val="TableParagraph"/>
              <w:numPr>
                <w:ilvl w:val="0"/>
                <w:numId w:val="10"/>
              </w:numPr>
              <w:tabs>
                <w:tab w:pos="328" w:val="left" w:leader="none"/>
              </w:tabs>
              <w:spacing w:line="216" w:lineRule="auto" w:before="0" w:after="0"/>
              <w:ind w:left="327" w:right="100" w:hanging="216"/>
              <w:jc w:val="left"/>
              <w:rPr>
                <w:sz w:val="24"/>
              </w:rPr>
            </w:pPr>
            <w:hyperlink r:id="rId28">
              <w:r>
                <w:rPr>
                  <w:color w:val="0000FF"/>
                  <w:sz w:val="24"/>
                </w:rPr>
                <w:t>SFFAS</w:t>
              </w:r>
              <w:r>
                <w:rPr>
                  <w:color w:val="0000FF"/>
                  <w:spacing w:val="-7"/>
                  <w:sz w:val="24"/>
                </w:rPr>
                <w:t> </w:t>
              </w:r>
              <w:r>
                <w:rPr>
                  <w:color w:val="0000FF"/>
                  <w:sz w:val="24"/>
                </w:rPr>
                <w:t>42</w:t>
              </w:r>
            </w:hyperlink>
            <w:r>
              <w:rPr>
                <w:sz w:val="24"/>
              </w:rPr>
              <w:t>:</w:t>
            </w:r>
            <w:r>
              <w:rPr>
                <w:spacing w:val="-6"/>
                <w:sz w:val="24"/>
              </w:rPr>
              <w:t> </w:t>
            </w:r>
            <w:r>
              <w:rPr>
                <w:sz w:val="24"/>
              </w:rPr>
              <w:t>Deferred</w:t>
            </w:r>
            <w:r>
              <w:rPr>
                <w:spacing w:val="-8"/>
                <w:sz w:val="24"/>
              </w:rPr>
              <w:t> </w:t>
            </w:r>
            <w:r>
              <w:rPr>
                <w:sz w:val="24"/>
              </w:rPr>
              <w:t>Maintenance</w:t>
            </w:r>
            <w:r>
              <w:rPr>
                <w:spacing w:val="-7"/>
                <w:sz w:val="24"/>
              </w:rPr>
              <w:t> </w:t>
            </w:r>
            <w:r>
              <w:rPr>
                <w:sz w:val="24"/>
              </w:rPr>
              <w:t>and</w:t>
            </w:r>
            <w:r>
              <w:rPr>
                <w:spacing w:val="-7"/>
                <w:sz w:val="24"/>
              </w:rPr>
              <w:t> </w:t>
            </w:r>
            <w:r>
              <w:rPr>
                <w:sz w:val="24"/>
              </w:rPr>
              <w:t>Repairs:</w:t>
            </w:r>
            <w:r>
              <w:rPr>
                <w:spacing w:val="-6"/>
                <w:sz w:val="24"/>
              </w:rPr>
              <w:t> </w:t>
            </w:r>
            <w:r>
              <w:rPr>
                <w:sz w:val="24"/>
              </w:rPr>
              <w:t>Amending SFFAS 6, 14, 29, and 32;</w:t>
            </w:r>
          </w:p>
          <w:p>
            <w:pPr>
              <w:pStyle w:val="TableParagraph"/>
              <w:numPr>
                <w:ilvl w:val="0"/>
                <w:numId w:val="10"/>
              </w:numPr>
              <w:tabs>
                <w:tab w:pos="328" w:val="left" w:leader="none"/>
              </w:tabs>
              <w:spacing w:line="248" w:lineRule="exact" w:before="7" w:after="0"/>
              <w:ind w:left="327" w:right="178" w:hanging="216"/>
              <w:jc w:val="left"/>
              <w:rPr>
                <w:sz w:val="24"/>
              </w:rPr>
            </w:pPr>
            <w:hyperlink r:id="rId31">
              <w:r>
                <w:rPr>
                  <w:color w:val="0000FF"/>
                  <w:sz w:val="24"/>
                </w:rPr>
                <w:t>SFFAS 54</w:t>
              </w:r>
            </w:hyperlink>
            <w:r>
              <w:rPr>
                <w:sz w:val="24"/>
              </w:rPr>
              <w:t>: Leases: An Amendment of SFFAS 5, Accounting for Liabilities of the Federal Government, and SFFAS 6, Accounting for Property, Plant, and Equipment (Effective</w:t>
            </w:r>
            <w:r>
              <w:rPr>
                <w:spacing w:val="-7"/>
                <w:sz w:val="24"/>
              </w:rPr>
              <w:t> </w:t>
            </w:r>
            <w:r>
              <w:rPr>
                <w:sz w:val="24"/>
              </w:rPr>
              <w:t>for</w:t>
            </w:r>
            <w:r>
              <w:rPr>
                <w:spacing w:val="-6"/>
                <w:sz w:val="24"/>
              </w:rPr>
              <w:t> </w:t>
            </w:r>
            <w:r>
              <w:rPr>
                <w:sz w:val="24"/>
              </w:rPr>
              <w:t>reporting</w:t>
            </w:r>
            <w:r>
              <w:rPr>
                <w:spacing w:val="-7"/>
                <w:sz w:val="24"/>
              </w:rPr>
              <w:t> </w:t>
            </w:r>
            <w:r>
              <w:rPr>
                <w:sz w:val="24"/>
              </w:rPr>
              <w:t>periods</w:t>
            </w:r>
            <w:r>
              <w:rPr>
                <w:spacing w:val="-7"/>
                <w:sz w:val="24"/>
              </w:rPr>
              <w:t> </w:t>
            </w:r>
            <w:r>
              <w:rPr>
                <w:sz w:val="24"/>
              </w:rPr>
              <w:t>beginning</w:t>
            </w:r>
            <w:r>
              <w:rPr>
                <w:spacing w:val="-7"/>
                <w:sz w:val="24"/>
              </w:rPr>
              <w:t> </w:t>
            </w:r>
            <w:r>
              <w:rPr>
                <w:sz w:val="24"/>
              </w:rPr>
              <w:t>after</w:t>
            </w:r>
            <w:r>
              <w:rPr>
                <w:spacing w:val="-7"/>
                <w:sz w:val="24"/>
              </w:rPr>
              <w:t> </w:t>
            </w:r>
            <w:r>
              <w:rPr>
                <w:sz w:val="24"/>
              </w:rPr>
              <w:t>September 30, 2023. Early adoption is not permitted)</w:t>
            </w:r>
          </w:p>
        </w:tc>
      </w:tr>
    </w:tbl>
    <w:p>
      <w:pPr>
        <w:spacing w:after="0" w:line="248" w:lineRule="exact"/>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7181"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1.1.3.3</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38"/>
              <w:rPr>
                <w:sz w:val="24"/>
              </w:rPr>
            </w:pPr>
            <w:r>
              <w:rPr>
                <w:sz w:val="24"/>
              </w:rPr>
              <w:t>Provide asset information, such as type (for example, intragovernmental or governmental), value, quantity (for example, units), and GL account (for example, buildings, land,</w:t>
            </w:r>
            <w:r>
              <w:rPr>
                <w:spacing w:val="-10"/>
                <w:sz w:val="24"/>
              </w:rPr>
              <w:t> </w:t>
            </w:r>
            <w:r>
              <w:rPr>
                <w:sz w:val="24"/>
              </w:rPr>
              <w:t>equipment</w:t>
            </w:r>
            <w:r>
              <w:rPr>
                <w:spacing w:val="-10"/>
                <w:sz w:val="24"/>
              </w:rPr>
              <w:t> </w:t>
            </w:r>
            <w:r>
              <w:rPr>
                <w:sz w:val="24"/>
              </w:rPr>
              <w:t>and</w:t>
            </w:r>
            <w:r>
              <w:rPr>
                <w:spacing w:val="-10"/>
                <w:sz w:val="24"/>
              </w:rPr>
              <w:t> </w:t>
            </w:r>
            <w:r>
              <w:rPr>
                <w:sz w:val="24"/>
              </w:rPr>
              <w:t>software)</w:t>
            </w:r>
            <w:r>
              <w:rPr>
                <w:spacing w:val="-10"/>
                <w:sz w:val="24"/>
              </w:rPr>
              <w:t> </w:t>
            </w:r>
            <w:r>
              <w:rPr>
                <w:sz w:val="24"/>
              </w:rPr>
              <w:t>for balance sheet and financial statement reporting consistent with the FASAB Handbook and as specified in the TFM.</w:t>
            </w:r>
          </w:p>
        </w:tc>
        <w:tc>
          <w:tcPr>
            <w:tcW w:w="6628" w:type="dxa"/>
          </w:tcPr>
          <w:p>
            <w:pPr>
              <w:pStyle w:val="TableParagraph"/>
              <w:numPr>
                <w:ilvl w:val="0"/>
                <w:numId w:val="11"/>
              </w:numPr>
              <w:tabs>
                <w:tab w:pos="328" w:val="left" w:leader="none"/>
              </w:tabs>
              <w:spacing w:line="247" w:lineRule="exact" w:before="0" w:after="0"/>
              <w:ind w:left="327" w:right="0" w:hanging="217"/>
              <w:jc w:val="left"/>
              <w:rPr>
                <w:sz w:val="24"/>
              </w:rPr>
            </w:pPr>
            <w:hyperlink r:id="rId16">
              <w:r>
                <w:rPr>
                  <w:color w:val="0000FF"/>
                  <w:sz w:val="24"/>
                </w:rPr>
                <w:t>SFFAS</w:t>
              </w:r>
              <w:r>
                <w:rPr>
                  <w:color w:val="0000FF"/>
                  <w:spacing w:val="-5"/>
                  <w:sz w:val="24"/>
                </w:rPr>
                <w:t> </w:t>
              </w:r>
              <w:r>
                <w:rPr>
                  <w:color w:val="0000FF"/>
                  <w:sz w:val="24"/>
                </w:rPr>
                <w:t>1</w:t>
              </w:r>
            </w:hyperlink>
            <w:r>
              <w:rPr>
                <w:sz w:val="24"/>
              </w:rPr>
              <w:t>:</w:t>
            </w:r>
            <w:r>
              <w:rPr>
                <w:spacing w:val="-4"/>
                <w:sz w:val="24"/>
              </w:rPr>
              <w:t> </w:t>
            </w:r>
            <w:r>
              <w:rPr>
                <w:sz w:val="24"/>
              </w:rPr>
              <w:t>Accounting</w:t>
            </w:r>
            <w:r>
              <w:rPr>
                <w:spacing w:val="-2"/>
                <w:sz w:val="24"/>
              </w:rPr>
              <w:t> </w:t>
            </w:r>
            <w:r>
              <w:rPr>
                <w:sz w:val="24"/>
              </w:rPr>
              <w:t>for</w:t>
            </w:r>
            <w:r>
              <w:rPr>
                <w:spacing w:val="-3"/>
                <w:sz w:val="24"/>
              </w:rPr>
              <w:t> </w:t>
            </w:r>
            <w:r>
              <w:rPr>
                <w:sz w:val="24"/>
              </w:rPr>
              <w:t>Selected</w:t>
            </w:r>
            <w:r>
              <w:rPr>
                <w:spacing w:val="-2"/>
                <w:sz w:val="24"/>
              </w:rPr>
              <w:t> </w:t>
            </w:r>
            <w:r>
              <w:rPr>
                <w:sz w:val="24"/>
              </w:rPr>
              <w:t>Assets</w:t>
            </w:r>
            <w:r>
              <w:rPr>
                <w:spacing w:val="-3"/>
                <w:sz w:val="24"/>
              </w:rPr>
              <w:t> </w:t>
            </w:r>
            <w:r>
              <w:rPr>
                <w:sz w:val="24"/>
              </w:rPr>
              <w:t>and</w:t>
            </w:r>
            <w:r>
              <w:rPr>
                <w:spacing w:val="-13"/>
                <w:sz w:val="24"/>
              </w:rPr>
              <w:t> </w:t>
            </w:r>
            <w:r>
              <w:rPr>
                <w:spacing w:val="-2"/>
                <w:sz w:val="24"/>
              </w:rPr>
              <w:t>Liabilities;</w:t>
            </w:r>
          </w:p>
          <w:p>
            <w:pPr>
              <w:pStyle w:val="TableParagraph"/>
              <w:numPr>
                <w:ilvl w:val="0"/>
                <w:numId w:val="11"/>
              </w:numPr>
              <w:tabs>
                <w:tab w:pos="328" w:val="left" w:leader="none"/>
              </w:tabs>
              <w:spacing w:line="213" w:lineRule="auto" w:before="12" w:after="0"/>
              <w:ind w:left="327" w:right="1167" w:hanging="216"/>
              <w:jc w:val="left"/>
              <w:rPr>
                <w:sz w:val="24"/>
              </w:rPr>
            </w:pPr>
            <w:hyperlink r:id="rId17">
              <w:r>
                <w:rPr>
                  <w:color w:val="0000FF"/>
                  <w:sz w:val="24"/>
                </w:rPr>
                <w:t>SFFAS</w:t>
              </w:r>
              <w:r>
                <w:rPr>
                  <w:color w:val="0000FF"/>
                  <w:spacing w:val="-6"/>
                  <w:sz w:val="24"/>
                </w:rPr>
                <w:t> </w:t>
              </w:r>
              <w:r>
                <w:rPr>
                  <w:color w:val="0000FF"/>
                  <w:sz w:val="24"/>
                </w:rPr>
                <w:t>2</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Direct</w:t>
            </w:r>
            <w:r>
              <w:rPr>
                <w:spacing w:val="-8"/>
                <w:sz w:val="24"/>
              </w:rPr>
              <w:t> </w:t>
            </w:r>
            <w:r>
              <w:rPr>
                <w:sz w:val="24"/>
              </w:rPr>
              <w:t>Loans</w:t>
            </w:r>
            <w:r>
              <w:rPr>
                <w:spacing w:val="-6"/>
                <w:sz w:val="24"/>
              </w:rPr>
              <w:t> </w:t>
            </w:r>
            <w:r>
              <w:rPr>
                <w:sz w:val="24"/>
              </w:rPr>
              <w:t>and</w:t>
            </w:r>
            <w:r>
              <w:rPr>
                <w:spacing w:val="-5"/>
                <w:sz w:val="24"/>
              </w:rPr>
              <w:t> </w:t>
            </w:r>
            <w:r>
              <w:rPr>
                <w:sz w:val="24"/>
              </w:rPr>
              <w:t>Loan </w:t>
            </w:r>
            <w:r>
              <w:rPr>
                <w:spacing w:val="-2"/>
                <w:sz w:val="24"/>
              </w:rPr>
              <w:t>Guarantees;</w:t>
            </w:r>
          </w:p>
          <w:p>
            <w:pPr>
              <w:pStyle w:val="TableParagraph"/>
              <w:numPr>
                <w:ilvl w:val="0"/>
                <w:numId w:val="11"/>
              </w:numPr>
              <w:tabs>
                <w:tab w:pos="328" w:val="left" w:leader="none"/>
              </w:tabs>
              <w:spacing w:line="258" w:lineRule="exact" w:before="0" w:after="0"/>
              <w:ind w:left="327" w:right="0" w:hanging="217"/>
              <w:jc w:val="left"/>
              <w:rPr>
                <w:sz w:val="24"/>
              </w:rPr>
            </w:pPr>
            <w:hyperlink r:id="rId18">
              <w:r>
                <w:rPr>
                  <w:color w:val="0000FF"/>
                  <w:sz w:val="24"/>
                </w:rPr>
                <w:t>SFFAS</w:t>
              </w:r>
              <w:r>
                <w:rPr>
                  <w:color w:val="0000FF"/>
                  <w:spacing w:val="-5"/>
                  <w:sz w:val="24"/>
                </w:rPr>
                <w:t> </w:t>
              </w:r>
              <w:r>
                <w:rPr>
                  <w:color w:val="0000FF"/>
                  <w:sz w:val="24"/>
                </w:rPr>
                <w:t>3</w:t>
              </w:r>
            </w:hyperlink>
            <w:r>
              <w:rPr>
                <w:sz w:val="24"/>
              </w:rPr>
              <w:t>:</w:t>
            </w:r>
            <w:r>
              <w:rPr>
                <w:spacing w:val="-4"/>
                <w:sz w:val="24"/>
              </w:rPr>
              <w:t> </w:t>
            </w:r>
            <w:r>
              <w:rPr>
                <w:sz w:val="24"/>
              </w:rPr>
              <w:t>Accounting</w:t>
            </w:r>
            <w:r>
              <w:rPr>
                <w:spacing w:val="-3"/>
                <w:sz w:val="24"/>
              </w:rPr>
              <w:t> </w:t>
            </w:r>
            <w:r>
              <w:rPr>
                <w:sz w:val="24"/>
              </w:rPr>
              <w:t>for</w:t>
            </w:r>
            <w:r>
              <w:rPr>
                <w:spacing w:val="-4"/>
                <w:sz w:val="24"/>
              </w:rPr>
              <w:t> </w:t>
            </w:r>
            <w:r>
              <w:rPr>
                <w:sz w:val="24"/>
              </w:rPr>
              <w:t>Inventory</w:t>
            </w:r>
            <w:r>
              <w:rPr>
                <w:spacing w:val="-3"/>
                <w:sz w:val="24"/>
              </w:rPr>
              <w:t> </w:t>
            </w:r>
            <w:r>
              <w:rPr>
                <w:sz w:val="24"/>
              </w:rPr>
              <w:t>and</w:t>
            </w:r>
            <w:r>
              <w:rPr>
                <w:spacing w:val="-3"/>
                <w:sz w:val="24"/>
              </w:rPr>
              <w:t> </w:t>
            </w:r>
            <w:r>
              <w:rPr>
                <w:sz w:val="24"/>
              </w:rPr>
              <w:t>Related</w:t>
            </w:r>
            <w:r>
              <w:rPr>
                <w:spacing w:val="-43"/>
                <w:sz w:val="24"/>
              </w:rPr>
              <w:t> </w:t>
            </w:r>
            <w:r>
              <w:rPr>
                <w:spacing w:val="-2"/>
                <w:sz w:val="24"/>
              </w:rPr>
              <w:t>Property;</w:t>
            </w:r>
          </w:p>
          <w:p>
            <w:pPr>
              <w:pStyle w:val="TableParagraph"/>
              <w:numPr>
                <w:ilvl w:val="0"/>
                <w:numId w:val="11"/>
              </w:numPr>
              <w:tabs>
                <w:tab w:pos="328" w:val="left" w:leader="none"/>
              </w:tabs>
              <w:spacing w:line="265" w:lineRule="exact" w:before="0" w:after="0"/>
              <w:ind w:left="327" w:right="0" w:hanging="217"/>
              <w:jc w:val="left"/>
              <w:rPr>
                <w:sz w:val="24"/>
              </w:rPr>
            </w:pPr>
            <w:hyperlink r:id="rId19">
              <w:r>
                <w:rPr>
                  <w:color w:val="0000FF"/>
                  <w:sz w:val="24"/>
                </w:rPr>
                <w:t>SFFAS</w:t>
              </w:r>
              <w:r>
                <w:rPr>
                  <w:color w:val="0000FF"/>
                  <w:spacing w:val="-5"/>
                  <w:sz w:val="24"/>
                </w:rPr>
                <w:t> </w:t>
              </w:r>
              <w:r>
                <w:rPr>
                  <w:color w:val="0000FF"/>
                  <w:sz w:val="24"/>
                </w:rPr>
                <w:t>6</w:t>
              </w:r>
            </w:hyperlink>
            <w:r>
              <w:rPr>
                <w:sz w:val="24"/>
              </w:rPr>
              <w:t>:</w:t>
            </w:r>
            <w:r>
              <w:rPr>
                <w:spacing w:val="-5"/>
                <w:sz w:val="24"/>
              </w:rPr>
              <w:t> </w:t>
            </w:r>
            <w:r>
              <w:rPr>
                <w:sz w:val="24"/>
              </w:rPr>
              <w:t>Accounting</w:t>
            </w:r>
            <w:r>
              <w:rPr>
                <w:spacing w:val="-2"/>
                <w:sz w:val="24"/>
              </w:rPr>
              <w:t> </w:t>
            </w:r>
            <w:r>
              <w:rPr>
                <w:sz w:val="24"/>
              </w:rPr>
              <w:t>for</w:t>
            </w:r>
            <w:r>
              <w:rPr>
                <w:spacing w:val="-4"/>
                <w:sz w:val="24"/>
              </w:rPr>
              <w:t> </w:t>
            </w:r>
            <w:r>
              <w:rPr>
                <w:sz w:val="24"/>
              </w:rPr>
              <w:t>Property,</w:t>
            </w:r>
            <w:r>
              <w:rPr>
                <w:spacing w:val="-2"/>
                <w:sz w:val="24"/>
              </w:rPr>
              <w:t> </w:t>
            </w:r>
            <w:r>
              <w:rPr>
                <w:sz w:val="24"/>
              </w:rPr>
              <w:t>Plant,</w:t>
            </w:r>
            <w:r>
              <w:rPr>
                <w:spacing w:val="-2"/>
                <w:sz w:val="24"/>
              </w:rPr>
              <w:t> </w:t>
            </w:r>
            <w:r>
              <w:rPr>
                <w:sz w:val="24"/>
              </w:rPr>
              <w:t>and</w:t>
            </w:r>
            <w:r>
              <w:rPr>
                <w:spacing w:val="-40"/>
                <w:sz w:val="24"/>
              </w:rPr>
              <w:t> </w:t>
            </w:r>
            <w:r>
              <w:rPr>
                <w:spacing w:val="-2"/>
                <w:sz w:val="24"/>
              </w:rPr>
              <w:t>Equipment;</w:t>
            </w:r>
          </w:p>
          <w:p>
            <w:pPr>
              <w:pStyle w:val="TableParagraph"/>
              <w:numPr>
                <w:ilvl w:val="0"/>
                <w:numId w:val="11"/>
              </w:numPr>
              <w:tabs>
                <w:tab w:pos="328" w:val="left" w:leader="none"/>
              </w:tabs>
              <w:spacing w:line="216" w:lineRule="auto" w:before="9" w:after="0"/>
              <w:ind w:left="327" w:right="378"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Sources and Concepts for Reconciling Budgetary and Financial</w:t>
            </w:r>
            <w:r>
              <w:rPr>
                <w:spacing w:val="-26"/>
                <w:sz w:val="24"/>
              </w:rPr>
              <w:t> </w:t>
            </w:r>
            <w:r>
              <w:rPr>
                <w:sz w:val="24"/>
              </w:rPr>
              <w:t>Accounting;</w:t>
            </w:r>
          </w:p>
          <w:p>
            <w:pPr>
              <w:pStyle w:val="TableParagraph"/>
              <w:numPr>
                <w:ilvl w:val="0"/>
                <w:numId w:val="11"/>
              </w:numPr>
              <w:tabs>
                <w:tab w:pos="328" w:val="left" w:leader="none"/>
              </w:tabs>
              <w:spacing w:line="256" w:lineRule="exact" w:before="0" w:after="0"/>
              <w:ind w:left="327" w:right="0" w:hanging="217"/>
              <w:jc w:val="left"/>
              <w:rPr>
                <w:sz w:val="24"/>
              </w:rPr>
            </w:pPr>
            <w:hyperlink r:id="rId21">
              <w:r>
                <w:rPr>
                  <w:color w:val="0000FF"/>
                  <w:sz w:val="24"/>
                </w:rPr>
                <w:t>SFFAS</w:t>
              </w:r>
              <w:r>
                <w:rPr>
                  <w:color w:val="0000FF"/>
                  <w:spacing w:val="-3"/>
                  <w:sz w:val="24"/>
                </w:rPr>
                <w:t> </w:t>
              </w:r>
              <w:r>
                <w:rPr>
                  <w:color w:val="0000FF"/>
                  <w:sz w:val="24"/>
                </w:rPr>
                <w:t>10</w:t>
              </w:r>
            </w:hyperlink>
            <w:r>
              <w:rPr>
                <w:sz w:val="24"/>
              </w:rPr>
              <w:t>:</w:t>
            </w:r>
            <w:r>
              <w:rPr>
                <w:spacing w:val="-2"/>
                <w:sz w:val="24"/>
              </w:rPr>
              <w:t> </w:t>
            </w:r>
            <w:r>
              <w:rPr>
                <w:sz w:val="24"/>
              </w:rPr>
              <w:t>Accounting</w:t>
            </w:r>
            <w:r>
              <w:rPr>
                <w:spacing w:val="-3"/>
                <w:sz w:val="24"/>
              </w:rPr>
              <w:t> </w:t>
            </w:r>
            <w:r>
              <w:rPr>
                <w:sz w:val="24"/>
              </w:rPr>
              <w:t>for</w:t>
            </w:r>
            <w:r>
              <w:rPr>
                <w:spacing w:val="-4"/>
                <w:sz w:val="24"/>
              </w:rPr>
              <w:t> </w:t>
            </w:r>
            <w:r>
              <w:rPr>
                <w:sz w:val="24"/>
              </w:rPr>
              <w:t>Internal</w:t>
            </w:r>
            <w:r>
              <w:rPr>
                <w:spacing w:val="-3"/>
                <w:sz w:val="24"/>
              </w:rPr>
              <w:t> </w:t>
            </w:r>
            <w:r>
              <w:rPr>
                <w:sz w:val="24"/>
              </w:rPr>
              <w:t>Use</w:t>
            </w:r>
            <w:r>
              <w:rPr>
                <w:spacing w:val="-8"/>
                <w:sz w:val="24"/>
              </w:rPr>
              <w:t> </w:t>
            </w:r>
            <w:r>
              <w:rPr>
                <w:spacing w:val="-2"/>
                <w:sz w:val="24"/>
              </w:rPr>
              <w:t>Software;</w:t>
            </w:r>
          </w:p>
          <w:p>
            <w:pPr>
              <w:pStyle w:val="TableParagraph"/>
              <w:numPr>
                <w:ilvl w:val="0"/>
                <w:numId w:val="11"/>
              </w:numPr>
              <w:tabs>
                <w:tab w:pos="328" w:val="left" w:leader="none"/>
              </w:tabs>
              <w:spacing w:line="216" w:lineRule="auto" w:before="9" w:after="0"/>
              <w:ind w:left="327" w:right="606" w:hanging="216"/>
              <w:jc w:val="left"/>
              <w:rPr>
                <w:sz w:val="24"/>
              </w:rPr>
            </w:pPr>
            <w:hyperlink r:id="rId22">
              <w:r>
                <w:rPr>
                  <w:color w:val="0000FF"/>
                  <w:sz w:val="24"/>
                </w:rPr>
                <w:t>SFFAS</w:t>
              </w:r>
              <w:r>
                <w:rPr>
                  <w:color w:val="0000FF"/>
                  <w:spacing w:val="-7"/>
                  <w:sz w:val="24"/>
                </w:rPr>
                <w:t> </w:t>
              </w:r>
              <w:r>
                <w:rPr>
                  <w:color w:val="0000FF"/>
                  <w:sz w:val="24"/>
                </w:rPr>
                <w:t>18</w:t>
              </w:r>
            </w:hyperlink>
            <w:r>
              <w:rPr>
                <w:sz w:val="24"/>
              </w:rPr>
              <w:t>:</w:t>
            </w:r>
            <w:r>
              <w:rPr>
                <w:spacing w:val="-6"/>
                <w:sz w:val="24"/>
              </w:rPr>
              <w:t> </w:t>
            </w:r>
            <w:r>
              <w:rPr>
                <w:sz w:val="24"/>
              </w:rPr>
              <w:t>Amendments</w:t>
            </w:r>
            <w:r>
              <w:rPr>
                <w:spacing w:val="-7"/>
                <w:sz w:val="24"/>
              </w:rPr>
              <w:t> </w:t>
            </w:r>
            <w:r>
              <w:rPr>
                <w:sz w:val="24"/>
              </w:rPr>
              <w:t>to</w:t>
            </w:r>
            <w:r>
              <w:rPr>
                <w:spacing w:val="-7"/>
                <w:sz w:val="24"/>
              </w:rPr>
              <w:t> </w:t>
            </w:r>
            <w:r>
              <w:rPr>
                <w:sz w:val="24"/>
              </w:rPr>
              <w:t>Accounting</w:t>
            </w:r>
            <w:r>
              <w:rPr>
                <w:spacing w:val="-7"/>
                <w:sz w:val="24"/>
              </w:rPr>
              <w:t> </w:t>
            </w:r>
            <w:r>
              <w:rPr>
                <w:sz w:val="24"/>
              </w:rPr>
              <w:t>Standards</w:t>
            </w:r>
            <w:r>
              <w:rPr>
                <w:spacing w:val="-7"/>
                <w:sz w:val="24"/>
              </w:rPr>
              <w:t> </w:t>
            </w:r>
            <w:r>
              <w:rPr>
                <w:sz w:val="24"/>
              </w:rPr>
              <w:t>for Direct Loans and Loan Guarantees in SFFAS 2;</w:t>
            </w:r>
          </w:p>
          <w:p>
            <w:pPr>
              <w:pStyle w:val="TableParagraph"/>
              <w:numPr>
                <w:ilvl w:val="0"/>
                <w:numId w:val="11"/>
              </w:numPr>
              <w:tabs>
                <w:tab w:pos="328" w:val="left" w:leader="none"/>
              </w:tabs>
              <w:spacing w:line="216" w:lineRule="auto" w:before="1" w:after="0"/>
              <w:ind w:left="327" w:right="792" w:hanging="216"/>
              <w:jc w:val="left"/>
              <w:rPr>
                <w:sz w:val="24"/>
              </w:rPr>
            </w:pPr>
            <w:hyperlink r:id="rId23">
              <w:r>
                <w:rPr>
                  <w:color w:val="0000FF"/>
                  <w:sz w:val="24"/>
                </w:rPr>
                <w:t>SFFAS 19</w:t>
              </w:r>
            </w:hyperlink>
            <w:r>
              <w:rPr>
                <w:sz w:val="24"/>
              </w:rPr>
              <w:t>: Technical Amendments of Accounting Standards</w:t>
            </w:r>
            <w:r>
              <w:rPr>
                <w:spacing w:val="-6"/>
                <w:sz w:val="24"/>
              </w:rPr>
              <w:t> </w:t>
            </w:r>
            <w:r>
              <w:rPr>
                <w:sz w:val="24"/>
              </w:rPr>
              <w:t>for</w:t>
            </w:r>
            <w:r>
              <w:rPr>
                <w:spacing w:val="-6"/>
                <w:sz w:val="24"/>
              </w:rPr>
              <w:t> </w:t>
            </w:r>
            <w:r>
              <w:rPr>
                <w:sz w:val="24"/>
              </w:rPr>
              <w:t>Direct</w:t>
            </w:r>
            <w:r>
              <w:rPr>
                <w:spacing w:val="-5"/>
                <w:sz w:val="24"/>
              </w:rPr>
              <w:t> </w:t>
            </w:r>
            <w:r>
              <w:rPr>
                <w:sz w:val="24"/>
              </w:rPr>
              <w:t>Loans</w:t>
            </w:r>
            <w:r>
              <w:rPr>
                <w:spacing w:val="-6"/>
                <w:sz w:val="24"/>
              </w:rPr>
              <w:t> </w:t>
            </w:r>
            <w:r>
              <w:rPr>
                <w:sz w:val="24"/>
              </w:rPr>
              <w:t>and</w:t>
            </w:r>
            <w:r>
              <w:rPr>
                <w:spacing w:val="-6"/>
                <w:sz w:val="24"/>
              </w:rPr>
              <w:t> </w:t>
            </w:r>
            <w:r>
              <w:rPr>
                <w:sz w:val="24"/>
              </w:rPr>
              <w:t>Loan</w:t>
            </w:r>
            <w:r>
              <w:rPr>
                <w:spacing w:val="-6"/>
                <w:sz w:val="24"/>
              </w:rPr>
              <w:t> </w:t>
            </w:r>
            <w:r>
              <w:rPr>
                <w:sz w:val="24"/>
              </w:rPr>
              <w:t>Guarantees</w:t>
            </w:r>
            <w:r>
              <w:rPr>
                <w:spacing w:val="-6"/>
                <w:sz w:val="24"/>
              </w:rPr>
              <w:t> </w:t>
            </w:r>
            <w:r>
              <w:rPr>
                <w:sz w:val="24"/>
              </w:rPr>
              <w:t>in SFFAS</w:t>
            </w:r>
            <w:r>
              <w:rPr>
                <w:spacing w:val="-2"/>
                <w:sz w:val="24"/>
              </w:rPr>
              <w:t> </w:t>
            </w:r>
            <w:r>
              <w:rPr>
                <w:sz w:val="24"/>
              </w:rPr>
              <w:t>2;</w:t>
            </w:r>
          </w:p>
          <w:p>
            <w:pPr>
              <w:pStyle w:val="TableParagraph"/>
              <w:numPr>
                <w:ilvl w:val="0"/>
                <w:numId w:val="11"/>
              </w:numPr>
              <w:tabs>
                <w:tab w:pos="328" w:val="left" w:leader="none"/>
              </w:tabs>
              <w:spacing w:line="216" w:lineRule="auto" w:before="0" w:after="0"/>
              <w:ind w:left="327" w:right="264" w:hanging="216"/>
              <w:jc w:val="left"/>
              <w:rPr>
                <w:sz w:val="24"/>
              </w:rPr>
            </w:pPr>
            <w:hyperlink r:id="rId24">
              <w:r>
                <w:rPr>
                  <w:color w:val="0000FF"/>
                  <w:sz w:val="24"/>
                </w:rPr>
                <w:t>SFFAS 23</w:t>
              </w:r>
            </w:hyperlink>
            <w:r>
              <w:rPr>
                <w:sz w:val="24"/>
              </w:rPr>
              <w:t>: Eliminating the Category National Defense Property,</w:t>
            </w:r>
            <w:r>
              <w:rPr>
                <w:spacing w:val="-9"/>
                <w:sz w:val="24"/>
              </w:rPr>
              <w:t> </w:t>
            </w:r>
            <w:r>
              <w:rPr>
                <w:sz w:val="24"/>
              </w:rPr>
              <w:t>Plant,</w:t>
            </w:r>
            <w:r>
              <w:rPr>
                <w:spacing w:val="-31"/>
                <w:sz w:val="24"/>
              </w:rPr>
              <w:t> </w:t>
            </w:r>
            <w:r>
              <w:rPr>
                <w:sz w:val="24"/>
              </w:rPr>
              <w:t>and</w:t>
            </w:r>
            <w:r>
              <w:rPr>
                <w:spacing w:val="-7"/>
                <w:sz w:val="24"/>
              </w:rPr>
              <w:t> </w:t>
            </w:r>
            <w:r>
              <w:rPr>
                <w:sz w:val="24"/>
              </w:rPr>
              <w:t>Equipment:</w:t>
            </w:r>
            <w:r>
              <w:rPr>
                <w:spacing w:val="-6"/>
                <w:sz w:val="24"/>
              </w:rPr>
              <w:t> </w:t>
            </w:r>
            <w:r>
              <w:rPr>
                <w:sz w:val="24"/>
              </w:rPr>
              <w:t>Amending</w:t>
            </w:r>
            <w:r>
              <w:rPr>
                <w:spacing w:val="-7"/>
                <w:sz w:val="24"/>
              </w:rPr>
              <w:t> </w:t>
            </w:r>
            <w:r>
              <w:rPr>
                <w:sz w:val="24"/>
              </w:rPr>
              <w:t>SFFAS</w:t>
            </w:r>
            <w:r>
              <w:rPr>
                <w:spacing w:val="-7"/>
                <w:sz w:val="24"/>
              </w:rPr>
              <w:t> </w:t>
            </w:r>
            <w:r>
              <w:rPr>
                <w:sz w:val="24"/>
              </w:rPr>
              <w:t>6</w:t>
            </w:r>
            <w:r>
              <w:rPr>
                <w:spacing w:val="-7"/>
                <w:sz w:val="24"/>
              </w:rPr>
              <w:t> </w:t>
            </w:r>
            <w:r>
              <w:rPr>
                <w:sz w:val="24"/>
              </w:rPr>
              <w:t>and 8, and Rescinding SFFAS 11;</w:t>
            </w:r>
          </w:p>
          <w:p>
            <w:pPr>
              <w:pStyle w:val="TableParagraph"/>
              <w:numPr>
                <w:ilvl w:val="0"/>
                <w:numId w:val="11"/>
              </w:numPr>
              <w:tabs>
                <w:tab w:pos="328" w:val="left" w:leader="none"/>
              </w:tabs>
              <w:spacing w:line="255" w:lineRule="exact" w:before="0" w:after="0"/>
              <w:ind w:left="327" w:right="0" w:hanging="217"/>
              <w:jc w:val="left"/>
              <w:rPr>
                <w:sz w:val="24"/>
              </w:rPr>
            </w:pPr>
            <w:hyperlink r:id="rId25">
              <w:r>
                <w:rPr>
                  <w:color w:val="0000FF"/>
                  <w:sz w:val="24"/>
                </w:rPr>
                <w:t>SFFAS</w:t>
              </w:r>
              <w:r>
                <w:rPr>
                  <w:color w:val="0000FF"/>
                  <w:spacing w:val="-6"/>
                  <w:sz w:val="24"/>
                </w:rPr>
                <w:t> </w:t>
              </w:r>
              <w:r>
                <w:rPr>
                  <w:color w:val="0000FF"/>
                  <w:sz w:val="24"/>
                </w:rPr>
                <w:t>29</w:t>
              </w:r>
            </w:hyperlink>
            <w:r>
              <w:rPr>
                <w:sz w:val="24"/>
              </w:rPr>
              <w:t>:</w:t>
            </w:r>
            <w:r>
              <w:rPr>
                <w:spacing w:val="-3"/>
                <w:sz w:val="24"/>
              </w:rPr>
              <w:t> </w:t>
            </w:r>
            <w:r>
              <w:rPr>
                <w:sz w:val="24"/>
              </w:rPr>
              <w:t>Heritage</w:t>
            </w:r>
            <w:r>
              <w:rPr>
                <w:spacing w:val="-3"/>
                <w:sz w:val="24"/>
              </w:rPr>
              <w:t> </w:t>
            </w:r>
            <w:r>
              <w:rPr>
                <w:sz w:val="24"/>
              </w:rPr>
              <w:t>Assets</w:t>
            </w:r>
            <w:r>
              <w:rPr>
                <w:spacing w:val="-4"/>
                <w:sz w:val="24"/>
              </w:rPr>
              <w:t> </w:t>
            </w:r>
            <w:r>
              <w:rPr>
                <w:sz w:val="24"/>
              </w:rPr>
              <w:t>and</w:t>
            </w:r>
            <w:r>
              <w:rPr>
                <w:spacing w:val="-3"/>
                <w:sz w:val="24"/>
              </w:rPr>
              <w:t> </w:t>
            </w:r>
            <w:r>
              <w:rPr>
                <w:sz w:val="24"/>
              </w:rPr>
              <w:t>Stewardship</w:t>
            </w:r>
            <w:r>
              <w:rPr>
                <w:spacing w:val="-7"/>
                <w:sz w:val="24"/>
              </w:rPr>
              <w:t> </w:t>
            </w:r>
            <w:r>
              <w:rPr>
                <w:spacing w:val="-2"/>
                <w:sz w:val="24"/>
              </w:rPr>
              <w:t>Land;</w:t>
            </w:r>
          </w:p>
          <w:p>
            <w:pPr>
              <w:pStyle w:val="TableParagraph"/>
              <w:numPr>
                <w:ilvl w:val="0"/>
                <w:numId w:val="11"/>
              </w:numPr>
              <w:tabs>
                <w:tab w:pos="328" w:val="left" w:leader="none"/>
              </w:tabs>
              <w:spacing w:line="213" w:lineRule="auto" w:before="11" w:after="0"/>
              <w:ind w:left="327" w:right="1300" w:hanging="216"/>
              <w:jc w:val="left"/>
              <w:rPr>
                <w:sz w:val="24"/>
              </w:rPr>
            </w:pPr>
            <w:hyperlink r:id="rId26">
              <w:r>
                <w:rPr>
                  <w:color w:val="0000FF"/>
                  <w:sz w:val="24"/>
                </w:rPr>
                <w:t>SFFAS</w:t>
              </w:r>
              <w:r>
                <w:rPr>
                  <w:color w:val="0000FF"/>
                  <w:spacing w:val="-6"/>
                  <w:sz w:val="24"/>
                </w:rPr>
                <w:t> </w:t>
              </w:r>
              <w:r>
                <w:rPr>
                  <w:color w:val="0000FF"/>
                  <w:sz w:val="24"/>
                </w:rPr>
                <w:t>38</w:t>
              </w:r>
            </w:hyperlink>
            <w:r>
              <w:rPr>
                <w:sz w:val="24"/>
              </w:rPr>
              <w:t>:</w:t>
            </w:r>
            <w:r>
              <w:rPr>
                <w:spacing w:val="-5"/>
                <w:sz w:val="24"/>
              </w:rPr>
              <w:t> </w:t>
            </w:r>
            <w:r>
              <w:rPr>
                <w:sz w:val="24"/>
              </w:rPr>
              <w:t>Accounting</w:t>
            </w:r>
            <w:r>
              <w:rPr>
                <w:spacing w:val="-6"/>
                <w:sz w:val="24"/>
              </w:rPr>
              <w:t> </w:t>
            </w:r>
            <w:r>
              <w:rPr>
                <w:sz w:val="24"/>
              </w:rPr>
              <w:t>for</w:t>
            </w:r>
            <w:r>
              <w:rPr>
                <w:spacing w:val="-6"/>
                <w:sz w:val="24"/>
              </w:rPr>
              <w:t> </w:t>
            </w:r>
            <w:r>
              <w:rPr>
                <w:sz w:val="24"/>
              </w:rPr>
              <w:t>Federal</w:t>
            </w:r>
            <w:r>
              <w:rPr>
                <w:spacing w:val="-6"/>
                <w:sz w:val="24"/>
              </w:rPr>
              <w:t> </w:t>
            </w:r>
            <w:r>
              <w:rPr>
                <w:sz w:val="24"/>
              </w:rPr>
              <w:t>Oil</w:t>
            </w:r>
            <w:r>
              <w:rPr>
                <w:spacing w:val="-6"/>
                <w:sz w:val="24"/>
              </w:rPr>
              <w:t> </w:t>
            </w:r>
            <w:r>
              <w:rPr>
                <w:sz w:val="24"/>
              </w:rPr>
              <w:t>and</w:t>
            </w:r>
            <w:r>
              <w:rPr>
                <w:spacing w:val="-6"/>
                <w:sz w:val="24"/>
              </w:rPr>
              <w:t> </w:t>
            </w:r>
            <w:r>
              <w:rPr>
                <w:sz w:val="24"/>
              </w:rPr>
              <w:t>Gas </w:t>
            </w:r>
            <w:r>
              <w:rPr>
                <w:spacing w:val="-2"/>
                <w:sz w:val="24"/>
              </w:rPr>
              <w:t>Resources;</w:t>
            </w:r>
          </w:p>
          <w:p>
            <w:pPr>
              <w:pStyle w:val="TableParagraph"/>
              <w:numPr>
                <w:ilvl w:val="0"/>
                <w:numId w:val="11"/>
              </w:numPr>
              <w:tabs>
                <w:tab w:pos="328" w:val="left" w:leader="none"/>
              </w:tabs>
              <w:spacing w:line="216" w:lineRule="auto" w:before="3" w:after="0"/>
              <w:ind w:left="327" w:right="449" w:hanging="216"/>
              <w:jc w:val="left"/>
              <w:rPr>
                <w:sz w:val="24"/>
              </w:rPr>
            </w:pPr>
            <w:r>
              <w:rPr>
                <w:sz w:val="24"/>
              </w:rPr>
              <w:t>Resources;</w:t>
            </w:r>
            <w:r>
              <w:rPr>
                <w:spacing w:val="-4"/>
                <w:sz w:val="24"/>
              </w:rPr>
              <w:t> </w:t>
            </w:r>
            <w:r>
              <w:rPr>
                <w:sz w:val="24"/>
              </w:rPr>
              <w:t>TFM</w:t>
            </w:r>
            <w:r>
              <w:rPr>
                <w:spacing w:val="-4"/>
                <w:sz w:val="24"/>
              </w:rPr>
              <w:t> </w:t>
            </w:r>
            <w:r>
              <w:rPr>
                <w:sz w:val="24"/>
              </w:rPr>
              <w:t>Volume</w:t>
            </w:r>
            <w:r>
              <w:rPr>
                <w:spacing w:val="-5"/>
                <w:sz w:val="24"/>
              </w:rPr>
              <w:t> </w:t>
            </w:r>
            <w:r>
              <w:rPr>
                <w:sz w:val="24"/>
              </w:rPr>
              <w:t>I,</w:t>
            </w:r>
            <w:r>
              <w:rPr>
                <w:spacing w:val="-6"/>
                <w:sz w:val="24"/>
              </w:rPr>
              <w:t> </w:t>
            </w:r>
            <w:r>
              <w:rPr>
                <w:sz w:val="24"/>
              </w:rPr>
              <w:t>Part</w:t>
            </w:r>
            <w:r>
              <w:rPr>
                <w:spacing w:val="-7"/>
                <w:sz w:val="24"/>
              </w:rPr>
              <w:t> </w:t>
            </w:r>
            <w:r>
              <w:rPr>
                <w:sz w:val="24"/>
              </w:rPr>
              <w:t>6,</w:t>
            </w:r>
            <w:r>
              <w:rPr>
                <w:spacing w:val="-5"/>
                <w:sz w:val="24"/>
              </w:rPr>
              <w:t> </w:t>
            </w:r>
            <w:r>
              <w:rPr>
                <w:sz w:val="24"/>
              </w:rPr>
              <w:t>Chapter</w:t>
            </w:r>
            <w:r>
              <w:rPr>
                <w:spacing w:val="-6"/>
                <w:sz w:val="24"/>
              </w:rPr>
              <w:t> </w:t>
            </w:r>
            <w:r>
              <w:rPr>
                <w:sz w:val="24"/>
              </w:rPr>
              <w:t>2100</w:t>
            </w:r>
            <w:r>
              <w:rPr>
                <w:spacing w:val="-5"/>
                <w:sz w:val="24"/>
              </w:rPr>
              <w:t> </w:t>
            </w:r>
            <w:r>
              <w:rPr>
                <w:sz w:val="24"/>
              </w:rPr>
              <w:t>Fiscal Service Data Registry;</w:t>
            </w:r>
          </w:p>
          <w:p>
            <w:pPr>
              <w:pStyle w:val="TableParagraph"/>
              <w:numPr>
                <w:ilvl w:val="0"/>
                <w:numId w:val="11"/>
              </w:numPr>
              <w:tabs>
                <w:tab w:pos="328" w:val="left" w:leader="none"/>
              </w:tabs>
              <w:spacing w:line="216" w:lineRule="auto" w:before="1" w:after="0"/>
              <w:ind w:left="327" w:right="178" w:hanging="216"/>
              <w:jc w:val="left"/>
              <w:rPr>
                <w:sz w:val="24"/>
              </w:rPr>
            </w:pPr>
            <w:hyperlink r:id="rId31">
              <w:r>
                <w:rPr>
                  <w:color w:val="0000FF"/>
                  <w:sz w:val="24"/>
                </w:rPr>
                <w:t>SFFAS 54</w:t>
              </w:r>
            </w:hyperlink>
            <w:r>
              <w:rPr>
                <w:sz w:val="24"/>
              </w:rPr>
              <w:t>: Leases: An Amendment of </w:t>
            </w:r>
            <w:hyperlink r:id="rId32">
              <w:r>
                <w:rPr>
                  <w:sz w:val="24"/>
                </w:rPr>
                <w:t>SFFAS 5</w:t>
              </w:r>
            </w:hyperlink>
            <w:r>
              <w:rPr>
                <w:sz w:val="24"/>
              </w:rPr>
              <w:t>, Accounting for Liabilities of the Federal Government, and SFFAS 6, Accounting for Property, Plant, and Equipment (Effective</w:t>
            </w:r>
            <w:r>
              <w:rPr>
                <w:spacing w:val="-7"/>
                <w:sz w:val="24"/>
              </w:rPr>
              <w:t> </w:t>
            </w:r>
            <w:r>
              <w:rPr>
                <w:sz w:val="24"/>
              </w:rPr>
              <w:t>for</w:t>
            </w:r>
            <w:r>
              <w:rPr>
                <w:spacing w:val="-7"/>
                <w:sz w:val="24"/>
              </w:rPr>
              <w:t> </w:t>
            </w:r>
            <w:r>
              <w:rPr>
                <w:sz w:val="24"/>
              </w:rPr>
              <w:t>reporting</w:t>
            </w:r>
            <w:r>
              <w:rPr>
                <w:spacing w:val="-7"/>
                <w:sz w:val="24"/>
              </w:rPr>
              <w:t> </w:t>
            </w:r>
            <w:r>
              <w:rPr>
                <w:sz w:val="24"/>
              </w:rPr>
              <w:t>periods</w:t>
            </w:r>
            <w:r>
              <w:rPr>
                <w:spacing w:val="-7"/>
                <w:sz w:val="24"/>
              </w:rPr>
              <w:t> </w:t>
            </w:r>
            <w:r>
              <w:rPr>
                <w:sz w:val="24"/>
              </w:rPr>
              <w:t>beginning</w:t>
            </w:r>
            <w:r>
              <w:rPr>
                <w:spacing w:val="-7"/>
                <w:sz w:val="24"/>
              </w:rPr>
              <w:t> </w:t>
            </w:r>
            <w:r>
              <w:rPr>
                <w:sz w:val="24"/>
              </w:rPr>
              <w:t>after</w:t>
            </w:r>
            <w:r>
              <w:rPr>
                <w:spacing w:val="-7"/>
                <w:sz w:val="24"/>
              </w:rPr>
              <w:t> </w:t>
            </w:r>
            <w:r>
              <w:rPr>
                <w:sz w:val="24"/>
              </w:rPr>
              <w:t>September 30, 2023. Early adoption is not permitted)</w:t>
            </w:r>
          </w:p>
          <w:p>
            <w:pPr>
              <w:pStyle w:val="TableParagraph"/>
              <w:numPr>
                <w:ilvl w:val="0"/>
                <w:numId w:val="11"/>
              </w:numPr>
              <w:tabs>
                <w:tab w:pos="328" w:val="left" w:leader="none"/>
              </w:tabs>
              <w:spacing w:line="253" w:lineRule="exact" w:before="0" w:after="0"/>
              <w:ind w:left="327" w:right="0" w:hanging="217"/>
              <w:jc w:val="left"/>
              <w:rPr>
                <w:sz w:val="24"/>
              </w:rPr>
            </w:pPr>
            <w:hyperlink r:id="rId30">
              <w:r>
                <w:rPr>
                  <w:color w:val="0000FF"/>
                  <w:sz w:val="24"/>
                </w:rPr>
                <w:t>SFFAS</w:t>
              </w:r>
              <w:r>
                <w:rPr>
                  <w:color w:val="0000FF"/>
                  <w:spacing w:val="-4"/>
                  <w:sz w:val="24"/>
                </w:rPr>
                <w:t> </w:t>
              </w:r>
              <w:r>
                <w:rPr>
                  <w:color w:val="0000FF"/>
                  <w:sz w:val="24"/>
                </w:rPr>
                <w:t>57</w:t>
              </w:r>
            </w:hyperlink>
            <w:r>
              <w:rPr>
                <w:sz w:val="24"/>
              </w:rPr>
              <w:t>:</w:t>
            </w:r>
            <w:r>
              <w:rPr>
                <w:spacing w:val="-3"/>
                <w:sz w:val="24"/>
              </w:rPr>
              <w:t> </w:t>
            </w:r>
            <w:r>
              <w:rPr>
                <w:sz w:val="24"/>
              </w:rPr>
              <w:t>Omnibus</w:t>
            </w:r>
            <w:r>
              <w:rPr>
                <w:spacing w:val="-4"/>
                <w:sz w:val="24"/>
              </w:rPr>
              <w:t> </w:t>
            </w:r>
            <w:r>
              <w:rPr>
                <w:sz w:val="24"/>
              </w:rPr>
              <w:t>Amendments</w:t>
            </w:r>
            <w:r>
              <w:rPr>
                <w:spacing w:val="-3"/>
                <w:sz w:val="24"/>
              </w:rPr>
              <w:t> </w:t>
            </w:r>
            <w:r>
              <w:rPr>
                <w:spacing w:val="-2"/>
                <w:sz w:val="24"/>
              </w:rPr>
              <w:t>2019.</w:t>
            </w:r>
          </w:p>
        </w:tc>
      </w:tr>
    </w:tbl>
    <w:p>
      <w:pPr>
        <w:spacing w:after="0" w:line="253" w:lineRule="exact"/>
        <w:jc w:val="left"/>
        <w:rPr>
          <w:sz w:val="24"/>
        </w:rPr>
        <w:sectPr>
          <w:pgSz w:w="20160" w:h="12240" w:orient="landscape"/>
          <w:pgMar w:header="288" w:footer="728" w:top="1380" w:bottom="1697"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ind w:left="0"/>
              <w:rPr>
                <w:sz w:val="35"/>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3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ind w:left="0"/>
              <w:rPr>
                <w:sz w:val="35"/>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6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ind w:left="0"/>
              <w:rPr>
                <w:sz w:val="35"/>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ind w:left="0"/>
              <w:rPr>
                <w:sz w:val="35"/>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981"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53" w:lineRule="exact"/>
              <w:ind w:left="107"/>
              <w:rPr>
                <w:sz w:val="24"/>
              </w:rPr>
            </w:pPr>
            <w:r>
              <w:rPr>
                <w:spacing w:val="-2"/>
                <w:sz w:val="24"/>
              </w:rPr>
              <w:t>1.1.3.4</w:t>
            </w:r>
          </w:p>
        </w:tc>
        <w:tc>
          <w:tcPr>
            <w:tcW w:w="1534" w:type="dxa"/>
          </w:tcPr>
          <w:p>
            <w:pPr>
              <w:pStyle w:val="TableParagraph"/>
              <w:spacing w:line="253" w:lineRule="exact"/>
              <w:ind w:left="109"/>
              <w:rPr>
                <w:sz w:val="24"/>
              </w:rPr>
            </w:pPr>
            <w:r>
              <w:rPr>
                <w:spacing w:val="-5"/>
                <w:sz w:val="24"/>
              </w:rPr>
              <w:t>DO</w:t>
            </w:r>
          </w:p>
        </w:tc>
        <w:tc>
          <w:tcPr>
            <w:tcW w:w="3834" w:type="dxa"/>
          </w:tcPr>
          <w:p>
            <w:pPr>
              <w:pStyle w:val="TableParagraph"/>
              <w:spacing w:line="248" w:lineRule="exact"/>
              <w:ind w:left="110" w:right="145"/>
              <w:rPr>
                <w:sz w:val="24"/>
              </w:rPr>
            </w:pPr>
            <w:r>
              <w:rPr>
                <w:sz w:val="24"/>
              </w:rPr>
              <w:t>Provide asset data required to post GL transactions consistent with USSGL accounts, account attributes, transaction codes, transaction categories (for example, collections and receivables), and transaction subcategories [for example, receipts, receivables/accrued revenue, asset sale and disposition</w:t>
            </w:r>
            <w:r>
              <w:rPr>
                <w:spacing w:val="-9"/>
                <w:sz w:val="24"/>
              </w:rPr>
              <w:t> </w:t>
            </w:r>
            <w:r>
              <w:rPr>
                <w:sz w:val="24"/>
              </w:rPr>
              <w:t>(gains</w:t>
            </w:r>
            <w:r>
              <w:rPr>
                <w:spacing w:val="-10"/>
                <w:sz w:val="24"/>
              </w:rPr>
              <w:t> </w:t>
            </w:r>
            <w:r>
              <w:rPr>
                <w:sz w:val="24"/>
              </w:rPr>
              <w:t>and</w:t>
            </w:r>
            <w:r>
              <w:rPr>
                <w:spacing w:val="-9"/>
                <w:sz w:val="24"/>
              </w:rPr>
              <w:t> </w:t>
            </w:r>
            <w:r>
              <w:rPr>
                <w:sz w:val="24"/>
              </w:rPr>
              <w:t>losses)]</w:t>
            </w:r>
            <w:r>
              <w:rPr>
                <w:spacing w:val="-9"/>
                <w:sz w:val="24"/>
              </w:rPr>
              <w:t> </w:t>
            </w:r>
            <w:r>
              <w:rPr>
                <w:sz w:val="24"/>
              </w:rPr>
              <w:t>as defined in the TFM.</w:t>
            </w:r>
          </w:p>
        </w:tc>
        <w:tc>
          <w:tcPr>
            <w:tcW w:w="6628" w:type="dxa"/>
          </w:tcPr>
          <w:p>
            <w:pPr>
              <w:pStyle w:val="TableParagraph"/>
              <w:numPr>
                <w:ilvl w:val="0"/>
                <w:numId w:val="12"/>
              </w:numPr>
              <w:tabs>
                <w:tab w:pos="328" w:val="left" w:leader="none"/>
              </w:tabs>
              <w:spacing w:line="257"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3"/>
                <w:sz w:val="24"/>
              </w:rPr>
              <w:t> </w:t>
            </w:r>
            <w:r>
              <w:rPr>
                <w:sz w:val="24"/>
              </w:rPr>
              <w:t>III:</w:t>
            </w:r>
            <w:r>
              <w:rPr>
                <w:spacing w:val="-3"/>
                <w:sz w:val="24"/>
              </w:rPr>
              <w:t> </w:t>
            </w:r>
            <w:r>
              <w:rPr>
                <w:sz w:val="24"/>
              </w:rPr>
              <w:t>Account</w:t>
            </w:r>
            <w:r>
              <w:rPr>
                <w:spacing w:val="-1"/>
                <w:sz w:val="24"/>
              </w:rPr>
              <w:t> </w:t>
            </w:r>
            <w:r>
              <w:rPr>
                <w:spacing w:val="-2"/>
                <w:sz w:val="24"/>
              </w:rPr>
              <w:t>Transactions;</w:t>
            </w:r>
          </w:p>
          <w:p>
            <w:pPr>
              <w:pStyle w:val="TableParagraph"/>
              <w:numPr>
                <w:ilvl w:val="0"/>
                <w:numId w:val="12"/>
              </w:numPr>
              <w:tabs>
                <w:tab w:pos="328" w:val="left" w:leader="none"/>
              </w:tabs>
              <w:spacing w:line="213" w:lineRule="auto" w:before="12" w:after="0"/>
              <w:ind w:left="327" w:right="459" w:hanging="216"/>
              <w:jc w:val="left"/>
              <w:rPr>
                <w:sz w:val="24"/>
              </w:rPr>
            </w:pPr>
            <w:hyperlink r:id="rId14">
              <w:r>
                <w:rPr>
                  <w:color w:val="0000FF"/>
                  <w:sz w:val="24"/>
                </w:rPr>
                <w:t>USSGL</w:t>
              </w:r>
            </w:hyperlink>
            <w:r>
              <w:rPr>
                <w:sz w:val="24"/>
              </w:rPr>
              <w:t>, Section IV: Account Attributes for USSGL Proprietary</w:t>
            </w:r>
            <w:r>
              <w:rPr>
                <w:spacing w:val="-11"/>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7"/>
                <w:sz w:val="24"/>
              </w:rPr>
              <w:t> </w:t>
            </w:r>
            <w:r>
              <w:rPr>
                <w:sz w:val="24"/>
              </w:rPr>
              <w:t>Reporting;</w:t>
            </w:r>
          </w:p>
          <w:p>
            <w:pPr>
              <w:pStyle w:val="TableParagraph"/>
              <w:numPr>
                <w:ilvl w:val="0"/>
                <w:numId w:val="12"/>
              </w:numPr>
              <w:tabs>
                <w:tab w:pos="328" w:val="left" w:leader="none"/>
              </w:tabs>
              <w:spacing w:line="216" w:lineRule="auto" w:before="3" w:after="0"/>
              <w:ind w:left="327" w:right="299" w:hanging="216"/>
              <w:jc w:val="left"/>
              <w:rPr>
                <w:sz w:val="24"/>
              </w:rPr>
            </w:pPr>
            <w:hyperlink r:id="rId24">
              <w:r>
                <w:rPr>
                  <w:color w:val="0000FF"/>
                  <w:sz w:val="24"/>
                </w:rPr>
                <w:t>SFFAS 23</w:t>
              </w:r>
            </w:hyperlink>
            <w:r>
              <w:rPr>
                <w:sz w:val="24"/>
              </w:rPr>
              <w:t>: Eliminating the Category National Defense Property,</w:t>
            </w:r>
            <w:r>
              <w:rPr>
                <w:spacing w:val="-5"/>
                <w:sz w:val="24"/>
              </w:rPr>
              <w:t> </w:t>
            </w:r>
            <w:r>
              <w:rPr>
                <w:sz w:val="24"/>
              </w:rPr>
              <w:t>Plant</w:t>
            </w:r>
            <w:r>
              <w:rPr>
                <w:spacing w:val="-6"/>
                <w:sz w:val="24"/>
              </w:rPr>
              <w:t> </w:t>
            </w:r>
            <w:r>
              <w:rPr>
                <w:sz w:val="24"/>
              </w:rPr>
              <w:t>and</w:t>
            </w:r>
            <w:r>
              <w:rPr>
                <w:spacing w:val="-6"/>
                <w:sz w:val="24"/>
              </w:rPr>
              <w:t> </w:t>
            </w:r>
            <w:r>
              <w:rPr>
                <w:sz w:val="24"/>
              </w:rPr>
              <w:t>Equipment:</w:t>
            </w:r>
            <w:r>
              <w:rPr>
                <w:spacing w:val="-5"/>
                <w:sz w:val="24"/>
              </w:rPr>
              <w:t> </w:t>
            </w:r>
            <w:r>
              <w:rPr>
                <w:sz w:val="24"/>
              </w:rPr>
              <w:t>Amending</w:t>
            </w:r>
            <w:r>
              <w:rPr>
                <w:spacing w:val="-6"/>
                <w:sz w:val="24"/>
              </w:rPr>
              <w:t> </w:t>
            </w:r>
            <w:r>
              <w:rPr>
                <w:sz w:val="24"/>
              </w:rPr>
              <w:t>SFFAS</w:t>
            </w:r>
            <w:r>
              <w:rPr>
                <w:spacing w:val="-6"/>
                <w:sz w:val="24"/>
              </w:rPr>
              <w:t> </w:t>
            </w:r>
            <w:r>
              <w:rPr>
                <w:sz w:val="24"/>
              </w:rPr>
              <w:t>6</w:t>
            </w:r>
            <w:r>
              <w:rPr>
                <w:spacing w:val="-6"/>
                <w:sz w:val="24"/>
              </w:rPr>
              <w:t> </w:t>
            </w:r>
            <w:r>
              <w:rPr>
                <w:sz w:val="24"/>
              </w:rPr>
              <w:t>and 8, and Rescinding SFFAS 11;</w:t>
            </w:r>
          </w:p>
          <w:p>
            <w:pPr>
              <w:pStyle w:val="TableParagraph"/>
              <w:numPr>
                <w:ilvl w:val="0"/>
                <w:numId w:val="12"/>
              </w:numPr>
              <w:tabs>
                <w:tab w:pos="328" w:val="left" w:leader="none"/>
              </w:tabs>
              <w:spacing w:line="213" w:lineRule="auto" w:before="3"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bl>
    <w:p>
      <w:pPr>
        <w:spacing w:after="0" w:line="213" w:lineRule="auto"/>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7646" w:hRule="atLeast"/>
        </w:trPr>
        <w:tc>
          <w:tcPr>
            <w:tcW w:w="1525" w:type="dxa"/>
          </w:tcPr>
          <w:p>
            <w:pPr>
              <w:pStyle w:val="TableParagraph"/>
              <w:spacing w:line="244" w:lineRule="exact"/>
              <w:ind w:left="107"/>
              <w:rPr>
                <w:sz w:val="24"/>
              </w:rPr>
            </w:pPr>
            <w:r>
              <w:rPr>
                <w:spacing w:val="-4"/>
                <w:sz w:val="24"/>
              </w:rPr>
              <w:t>1.1.4</w:t>
            </w:r>
          </w:p>
        </w:tc>
        <w:tc>
          <w:tcPr>
            <w:tcW w:w="1761" w:type="dxa"/>
          </w:tcPr>
          <w:p>
            <w:pPr>
              <w:pStyle w:val="TableParagraph"/>
              <w:spacing w:line="216" w:lineRule="auto"/>
              <w:ind w:left="108" w:right="185"/>
              <w:rPr>
                <w:sz w:val="24"/>
              </w:rPr>
            </w:pPr>
            <w:r>
              <w:rPr>
                <w:spacing w:val="-2"/>
                <w:sz w:val="24"/>
              </w:rPr>
              <w:t>Managing Financial Liability Information</w:t>
            </w:r>
          </w:p>
        </w:tc>
        <w:tc>
          <w:tcPr>
            <w:tcW w:w="1984" w:type="dxa"/>
          </w:tcPr>
          <w:p>
            <w:pPr>
              <w:pStyle w:val="TableParagraph"/>
              <w:spacing w:line="244" w:lineRule="exact"/>
              <w:ind w:left="107"/>
              <w:rPr>
                <w:sz w:val="24"/>
              </w:rPr>
            </w:pPr>
            <w:r>
              <w:rPr>
                <w:spacing w:val="-2"/>
                <w:sz w:val="24"/>
              </w:rPr>
              <w:t>1.1.4.1</w:t>
            </w:r>
          </w:p>
        </w:tc>
        <w:tc>
          <w:tcPr>
            <w:tcW w:w="1534" w:type="dxa"/>
          </w:tcPr>
          <w:p>
            <w:pPr>
              <w:pStyle w:val="TableParagraph"/>
              <w:spacing w:line="244" w:lineRule="exact"/>
              <w:ind w:left="109"/>
              <w:rPr>
                <w:sz w:val="24"/>
              </w:rPr>
            </w:pPr>
            <w:r>
              <w:rPr>
                <w:spacing w:val="-5"/>
                <w:sz w:val="24"/>
              </w:rPr>
              <w:t>DI</w:t>
            </w:r>
          </w:p>
        </w:tc>
        <w:tc>
          <w:tcPr>
            <w:tcW w:w="3834" w:type="dxa"/>
          </w:tcPr>
          <w:p>
            <w:pPr>
              <w:pStyle w:val="TableParagraph"/>
              <w:spacing w:line="216" w:lineRule="auto"/>
              <w:ind w:left="110" w:right="131"/>
              <w:rPr>
                <w:sz w:val="24"/>
              </w:rPr>
            </w:pPr>
            <w:r>
              <w:rPr>
                <w:sz w:val="24"/>
              </w:rPr>
              <w:t>Capture federal government liability type (for example, covered/not covered by</w:t>
            </w:r>
            <w:r>
              <w:rPr>
                <w:spacing w:val="40"/>
                <w:sz w:val="24"/>
              </w:rPr>
              <w:t> </w:t>
            </w:r>
            <w:r>
              <w:rPr>
                <w:sz w:val="24"/>
              </w:rPr>
              <w:t>budgetary resources, governmental, and Intragovernmental), category (for example, accounts payable, and interest</w:t>
            </w:r>
            <w:r>
              <w:rPr>
                <w:spacing w:val="-10"/>
                <w:sz w:val="24"/>
              </w:rPr>
              <w:t> </w:t>
            </w:r>
            <w:r>
              <w:rPr>
                <w:sz w:val="24"/>
              </w:rPr>
              <w:t>payable</w:t>
            </w:r>
            <w:r>
              <w:rPr>
                <w:spacing w:val="-10"/>
                <w:sz w:val="24"/>
              </w:rPr>
              <w:t> </w:t>
            </w:r>
            <w:r>
              <w:rPr>
                <w:sz w:val="24"/>
              </w:rPr>
              <w:t>and</w:t>
            </w:r>
            <w:r>
              <w:rPr>
                <w:spacing w:val="-10"/>
                <w:sz w:val="24"/>
              </w:rPr>
              <w:t> </w:t>
            </w:r>
            <w:r>
              <w:rPr>
                <w:sz w:val="24"/>
              </w:rPr>
              <w:t>other</w:t>
            </w:r>
            <w:r>
              <w:rPr>
                <w:spacing w:val="-10"/>
                <w:sz w:val="24"/>
              </w:rPr>
              <w:t> </w:t>
            </w:r>
            <w:r>
              <w:rPr>
                <w:sz w:val="24"/>
              </w:rPr>
              <w:t>current liabilities), and subcategory (for example, accrued employees' wages and entitlement benefits) consistent with the FASAB </w:t>
            </w:r>
            <w:r>
              <w:rPr>
                <w:spacing w:val="-2"/>
                <w:sz w:val="24"/>
              </w:rPr>
              <w:t>Handbook.</w:t>
            </w:r>
          </w:p>
        </w:tc>
        <w:tc>
          <w:tcPr>
            <w:tcW w:w="6628" w:type="dxa"/>
          </w:tcPr>
          <w:p>
            <w:pPr>
              <w:pStyle w:val="TableParagraph"/>
              <w:numPr>
                <w:ilvl w:val="0"/>
                <w:numId w:val="13"/>
              </w:numPr>
              <w:tabs>
                <w:tab w:pos="328" w:val="left" w:leader="none"/>
              </w:tabs>
              <w:spacing w:line="247" w:lineRule="exact" w:before="0" w:after="0"/>
              <w:ind w:left="327" w:right="0" w:hanging="217"/>
              <w:jc w:val="left"/>
              <w:rPr>
                <w:sz w:val="24"/>
              </w:rPr>
            </w:pPr>
            <w:hyperlink r:id="rId16">
              <w:r>
                <w:rPr>
                  <w:color w:val="0000FF"/>
                  <w:sz w:val="24"/>
                </w:rPr>
                <w:t>SFFAS</w:t>
              </w:r>
              <w:r>
                <w:rPr>
                  <w:color w:val="0000FF"/>
                  <w:spacing w:val="-5"/>
                  <w:sz w:val="24"/>
                </w:rPr>
                <w:t> </w:t>
              </w:r>
              <w:r>
                <w:rPr>
                  <w:color w:val="0000FF"/>
                  <w:sz w:val="24"/>
                </w:rPr>
                <w:t>1</w:t>
              </w:r>
            </w:hyperlink>
            <w:r>
              <w:rPr>
                <w:sz w:val="24"/>
              </w:rPr>
              <w:t>:</w:t>
            </w:r>
            <w:r>
              <w:rPr>
                <w:spacing w:val="-4"/>
                <w:sz w:val="24"/>
              </w:rPr>
              <w:t> </w:t>
            </w:r>
            <w:r>
              <w:rPr>
                <w:sz w:val="24"/>
              </w:rPr>
              <w:t>Accounting</w:t>
            </w:r>
            <w:r>
              <w:rPr>
                <w:spacing w:val="-2"/>
                <w:sz w:val="24"/>
              </w:rPr>
              <w:t> </w:t>
            </w:r>
            <w:r>
              <w:rPr>
                <w:sz w:val="24"/>
              </w:rPr>
              <w:t>for</w:t>
            </w:r>
            <w:r>
              <w:rPr>
                <w:spacing w:val="-3"/>
                <w:sz w:val="24"/>
              </w:rPr>
              <w:t> </w:t>
            </w:r>
            <w:r>
              <w:rPr>
                <w:sz w:val="24"/>
              </w:rPr>
              <w:t>Selected</w:t>
            </w:r>
            <w:r>
              <w:rPr>
                <w:spacing w:val="-3"/>
                <w:sz w:val="24"/>
              </w:rPr>
              <w:t> </w:t>
            </w:r>
            <w:r>
              <w:rPr>
                <w:sz w:val="24"/>
              </w:rPr>
              <w:t>Assets</w:t>
            </w:r>
            <w:r>
              <w:rPr>
                <w:spacing w:val="-3"/>
                <w:sz w:val="24"/>
              </w:rPr>
              <w:t> </w:t>
            </w:r>
            <w:r>
              <w:rPr>
                <w:sz w:val="24"/>
              </w:rPr>
              <w:t>and</w:t>
            </w:r>
            <w:r>
              <w:rPr>
                <w:spacing w:val="-13"/>
                <w:sz w:val="24"/>
              </w:rPr>
              <w:t> </w:t>
            </w:r>
            <w:r>
              <w:rPr>
                <w:spacing w:val="-2"/>
                <w:sz w:val="24"/>
              </w:rPr>
              <w:t>Liabilities;</w:t>
            </w:r>
          </w:p>
          <w:p>
            <w:pPr>
              <w:pStyle w:val="TableParagraph"/>
              <w:numPr>
                <w:ilvl w:val="0"/>
                <w:numId w:val="13"/>
              </w:numPr>
              <w:tabs>
                <w:tab w:pos="328" w:val="left" w:leader="none"/>
              </w:tabs>
              <w:spacing w:line="213" w:lineRule="auto" w:before="12" w:after="0"/>
              <w:ind w:left="327" w:right="1167" w:hanging="216"/>
              <w:jc w:val="left"/>
              <w:rPr>
                <w:sz w:val="24"/>
              </w:rPr>
            </w:pPr>
            <w:hyperlink r:id="rId17">
              <w:r>
                <w:rPr>
                  <w:color w:val="0000FF"/>
                  <w:sz w:val="24"/>
                </w:rPr>
                <w:t>SFFAS</w:t>
              </w:r>
              <w:r>
                <w:rPr>
                  <w:color w:val="0000FF"/>
                  <w:spacing w:val="-6"/>
                  <w:sz w:val="24"/>
                </w:rPr>
                <w:t> </w:t>
              </w:r>
              <w:r>
                <w:rPr>
                  <w:color w:val="0000FF"/>
                  <w:sz w:val="24"/>
                </w:rPr>
                <w:t>2</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Direct</w:t>
            </w:r>
            <w:r>
              <w:rPr>
                <w:spacing w:val="-8"/>
                <w:sz w:val="24"/>
              </w:rPr>
              <w:t> </w:t>
            </w:r>
            <w:r>
              <w:rPr>
                <w:sz w:val="24"/>
              </w:rPr>
              <w:t>Loans</w:t>
            </w:r>
            <w:r>
              <w:rPr>
                <w:spacing w:val="-6"/>
                <w:sz w:val="24"/>
              </w:rPr>
              <w:t> </w:t>
            </w:r>
            <w:r>
              <w:rPr>
                <w:sz w:val="24"/>
              </w:rPr>
              <w:t>and</w:t>
            </w:r>
            <w:r>
              <w:rPr>
                <w:spacing w:val="-5"/>
                <w:sz w:val="24"/>
              </w:rPr>
              <w:t> </w:t>
            </w:r>
            <w:r>
              <w:rPr>
                <w:sz w:val="24"/>
              </w:rPr>
              <w:t>Loan </w:t>
            </w:r>
            <w:r>
              <w:rPr>
                <w:spacing w:val="-2"/>
                <w:sz w:val="24"/>
              </w:rPr>
              <w:t>Guarantees;</w:t>
            </w:r>
          </w:p>
          <w:p>
            <w:pPr>
              <w:pStyle w:val="TableParagraph"/>
              <w:numPr>
                <w:ilvl w:val="0"/>
                <w:numId w:val="13"/>
              </w:numPr>
              <w:tabs>
                <w:tab w:pos="328" w:val="left" w:leader="none"/>
              </w:tabs>
              <w:spacing w:line="216" w:lineRule="auto" w:before="3" w:after="0"/>
              <w:ind w:left="327" w:right="1047" w:hanging="216"/>
              <w:jc w:val="left"/>
              <w:rPr>
                <w:sz w:val="24"/>
              </w:rPr>
            </w:pPr>
            <w:hyperlink r:id="rId33">
              <w:r>
                <w:rPr>
                  <w:color w:val="0000FF"/>
                  <w:sz w:val="24"/>
                </w:rPr>
                <w:t>SFFAS</w:t>
              </w:r>
              <w:r>
                <w:rPr>
                  <w:color w:val="0000FF"/>
                  <w:spacing w:val="-6"/>
                  <w:sz w:val="24"/>
                </w:rPr>
                <w:t> </w:t>
              </w:r>
              <w:r>
                <w:rPr>
                  <w:color w:val="0000FF"/>
                  <w:sz w:val="24"/>
                </w:rPr>
                <w:t>5</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Liabilities</w:t>
            </w:r>
            <w:r>
              <w:rPr>
                <w:spacing w:val="-6"/>
                <w:sz w:val="24"/>
              </w:rPr>
              <w:t> </w:t>
            </w:r>
            <w:r>
              <w:rPr>
                <w:sz w:val="24"/>
              </w:rPr>
              <w:t>of</w:t>
            </w:r>
            <w:r>
              <w:rPr>
                <w:spacing w:val="-6"/>
                <w:sz w:val="24"/>
              </w:rPr>
              <w:t> </w:t>
            </w:r>
            <w:r>
              <w:rPr>
                <w:sz w:val="24"/>
              </w:rPr>
              <w:t>the</w:t>
            </w:r>
            <w:r>
              <w:rPr>
                <w:spacing w:val="-6"/>
                <w:sz w:val="24"/>
              </w:rPr>
              <w:t> </w:t>
            </w:r>
            <w:r>
              <w:rPr>
                <w:sz w:val="24"/>
              </w:rPr>
              <w:t>Federal </w:t>
            </w:r>
            <w:r>
              <w:rPr>
                <w:spacing w:val="-2"/>
                <w:sz w:val="24"/>
              </w:rPr>
              <w:t>Government;</w:t>
            </w:r>
          </w:p>
          <w:p>
            <w:pPr>
              <w:pStyle w:val="TableParagraph"/>
              <w:numPr>
                <w:ilvl w:val="0"/>
                <w:numId w:val="13"/>
              </w:numPr>
              <w:tabs>
                <w:tab w:pos="328" w:val="left" w:leader="none"/>
              </w:tabs>
              <w:spacing w:line="255" w:lineRule="exact" w:before="0" w:after="0"/>
              <w:ind w:left="327" w:right="0" w:hanging="217"/>
              <w:jc w:val="left"/>
              <w:rPr>
                <w:sz w:val="24"/>
              </w:rPr>
            </w:pPr>
            <w:hyperlink r:id="rId19">
              <w:r>
                <w:rPr>
                  <w:color w:val="0000FF"/>
                  <w:sz w:val="24"/>
                </w:rPr>
                <w:t>SFFAS</w:t>
              </w:r>
              <w:r>
                <w:rPr>
                  <w:color w:val="0000FF"/>
                  <w:spacing w:val="-4"/>
                  <w:sz w:val="24"/>
                </w:rPr>
                <w:t> </w:t>
              </w:r>
              <w:r>
                <w:rPr>
                  <w:color w:val="0000FF"/>
                  <w:sz w:val="24"/>
                </w:rPr>
                <w:t>6</w:t>
              </w:r>
            </w:hyperlink>
            <w:r>
              <w:rPr>
                <w:sz w:val="24"/>
              </w:rPr>
              <w:t>:</w:t>
            </w:r>
            <w:r>
              <w:rPr>
                <w:spacing w:val="-4"/>
                <w:sz w:val="24"/>
              </w:rPr>
              <w:t> </w:t>
            </w:r>
            <w:r>
              <w:rPr>
                <w:sz w:val="24"/>
              </w:rPr>
              <w:t>Accounting</w:t>
            </w:r>
            <w:r>
              <w:rPr>
                <w:spacing w:val="-2"/>
                <w:sz w:val="24"/>
              </w:rPr>
              <w:t> </w:t>
            </w:r>
            <w:r>
              <w:rPr>
                <w:sz w:val="24"/>
              </w:rPr>
              <w:t>for</w:t>
            </w:r>
            <w:r>
              <w:rPr>
                <w:spacing w:val="-3"/>
                <w:sz w:val="24"/>
              </w:rPr>
              <w:t> </w:t>
            </w:r>
            <w:r>
              <w:rPr>
                <w:sz w:val="24"/>
              </w:rPr>
              <w:t>Property,</w:t>
            </w:r>
            <w:r>
              <w:rPr>
                <w:spacing w:val="-2"/>
                <w:sz w:val="24"/>
              </w:rPr>
              <w:t> </w:t>
            </w:r>
            <w:r>
              <w:rPr>
                <w:sz w:val="24"/>
              </w:rPr>
              <w:t>Plant,</w:t>
            </w:r>
            <w:r>
              <w:rPr>
                <w:spacing w:val="-3"/>
                <w:sz w:val="24"/>
              </w:rPr>
              <w:t> </w:t>
            </w:r>
            <w:r>
              <w:rPr>
                <w:sz w:val="24"/>
              </w:rPr>
              <w:t>and</w:t>
            </w:r>
            <w:r>
              <w:rPr>
                <w:spacing w:val="-7"/>
                <w:sz w:val="24"/>
              </w:rPr>
              <w:t> </w:t>
            </w:r>
            <w:r>
              <w:rPr>
                <w:spacing w:val="-2"/>
                <w:sz w:val="24"/>
              </w:rPr>
              <w:t>Equipment;</w:t>
            </w:r>
          </w:p>
          <w:p>
            <w:pPr>
              <w:pStyle w:val="TableParagraph"/>
              <w:numPr>
                <w:ilvl w:val="0"/>
                <w:numId w:val="13"/>
              </w:numPr>
              <w:tabs>
                <w:tab w:pos="328" w:val="left" w:leader="none"/>
              </w:tabs>
              <w:spacing w:line="216" w:lineRule="auto" w:before="9" w:after="0"/>
              <w:ind w:left="327" w:right="378"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Sources and Concepts for Reconciling Budgetary and Financial</w:t>
            </w:r>
            <w:r>
              <w:rPr>
                <w:spacing w:val="-26"/>
                <w:sz w:val="24"/>
              </w:rPr>
              <w:t> </w:t>
            </w:r>
            <w:r>
              <w:rPr>
                <w:sz w:val="24"/>
              </w:rPr>
              <w:t>Accounting;</w:t>
            </w:r>
          </w:p>
          <w:p>
            <w:pPr>
              <w:pStyle w:val="TableParagraph"/>
              <w:numPr>
                <w:ilvl w:val="0"/>
                <w:numId w:val="13"/>
              </w:numPr>
              <w:tabs>
                <w:tab w:pos="328" w:val="left" w:leader="none"/>
              </w:tabs>
              <w:spacing w:line="216" w:lineRule="auto" w:before="0" w:after="0"/>
              <w:ind w:left="327" w:right="373" w:hanging="216"/>
              <w:jc w:val="both"/>
              <w:rPr>
                <w:sz w:val="24"/>
              </w:rPr>
            </w:pPr>
            <w:hyperlink r:id="rId34">
              <w:r>
                <w:rPr>
                  <w:color w:val="0000FF"/>
                  <w:sz w:val="24"/>
                </w:rPr>
                <w:t>SFFAS 12</w:t>
              </w:r>
            </w:hyperlink>
            <w:r>
              <w:rPr>
                <w:sz w:val="24"/>
              </w:rPr>
              <w:t>: Recognition of Contingent Liabilities Arising from</w:t>
            </w:r>
            <w:r>
              <w:rPr>
                <w:spacing w:val="-6"/>
                <w:sz w:val="24"/>
              </w:rPr>
              <w:t> </w:t>
            </w:r>
            <w:r>
              <w:rPr>
                <w:sz w:val="24"/>
              </w:rPr>
              <w:t>Litigation:</w:t>
            </w:r>
            <w:r>
              <w:rPr>
                <w:spacing w:val="-6"/>
                <w:sz w:val="24"/>
              </w:rPr>
              <w:t> </w:t>
            </w:r>
            <w:r>
              <w:rPr>
                <w:sz w:val="24"/>
              </w:rPr>
              <w:t>An</w:t>
            </w:r>
            <w:r>
              <w:rPr>
                <w:spacing w:val="-6"/>
                <w:sz w:val="24"/>
              </w:rPr>
              <w:t> </w:t>
            </w:r>
            <w:r>
              <w:rPr>
                <w:sz w:val="24"/>
              </w:rPr>
              <w:t>Amendment</w:t>
            </w:r>
            <w:r>
              <w:rPr>
                <w:spacing w:val="-6"/>
                <w:sz w:val="24"/>
              </w:rPr>
              <w:t> </w:t>
            </w:r>
            <w:r>
              <w:rPr>
                <w:sz w:val="24"/>
              </w:rPr>
              <w:t>of</w:t>
            </w:r>
            <w:r>
              <w:rPr>
                <w:spacing w:val="-7"/>
                <w:sz w:val="24"/>
              </w:rPr>
              <w:t> </w:t>
            </w:r>
            <w:r>
              <w:rPr>
                <w:sz w:val="24"/>
              </w:rPr>
              <w:t>SFFAS</w:t>
            </w:r>
            <w:r>
              <w:rPr>
                <w:spacing w:val="-9"/>
                <w:sz w:val="24"/>
              </w:rPr>
              <w:t> </w:t>
            </w:r>
            <w:r>
              <w:rPr>
                <w:sz w:val="24"/>
              </w:rPr>
              <w:t>5,</w:t>
            </w:r>
            <w:r>
              <w:rPr>
                <w:spacing w:val="-8"/>
                <w:sz w:val="24"/>
              </w:rPr>
              <w:t> </w:t>
            </w:r>
            <w:r>
              <w:rPr>
                <w:sz w:val="24"/>
              </w:rPr>
              <w:t>Accounting for Liabilities of the Federal</w:t>
            </w:r>
            <w:r>
              <w:rPr>
                <w:spacing w:val="-18"/>
                <w:sz w:val="24"/>
              </w:rPr>
              <w:t> </w:t>
            </w:r>
            <w:r>
              <w:rPr>
                <w:sz w:val="24"/>
              </w:rPr>
              <w:t>Government;</w:t>
            </w:r>
          </w:p>
          <w:p>
            <w:pPr>
              <w:pStyle w:val="TableParagraph"/>
              <w:numPr>
                <w:ilvl w:val="0"/>
                <w:numId w:val="13"/>
              </w:numPr>
              <w:tabs>
                <w:tab w:pos="328" w:val="left" w:leader="none"/>
              </w:tabs>
              <w:spacing w:line="255" w:lineRule="exact" w:before="0" w:after="0"/>
              <w:ind w:left="327" w:right="0" w:hanging="217"/>
              <w:jc w:val="both"/>
              <w:rPr>
                <w:sz w:val="24"/>
              </w:rPr>
            </w:pPr>
            <w:hyperlink r:id="rId35">
              <w:r>
                <w:rPr>
                  <w:color w:val="0000FF"/>
                  <w:sz w:val="24"/>
                </w:rPr>
                <w:t>SFFAS</w:t>
              </w:r>
              <w:r>
                <w:rPr>
                  <w:color w:val="0000FF"/>
                  <w:spacing w:val="-4"/>
                  <w:sz w:val="24"/>
                </w:rPr>
                <w:t> </w:t>
              </w:r>
              <w:r>
                <w:rPr>
                  <w:color w:val="0000FF"/>
                  <w:sz w:val="24"/>
                </w:rPr>
                <w:t>17</w:t>
              </w:r>
            </w:hyperlink>
            <w:r>
              <w:rPr>
                <w:sz w:val="24"/>
              </w:rPr>
              <w:t>:</w:t>
            </w:r>
            <w:r>
              <w:rPr>
                <w:spacing w:val="-2"/>
                <w:sz w:val="24"/>
              </w:rPr>
              <w:t> </w:t>
            </w:r>
            <w:r>
              <w:rPr>
                <w:sz w:val="24"/>
              </w:rPr>
              <w:t>Accounting</w:t>
            </w:r>
            <w:r>
              <w:rPr>
                <w:spacing w:val="-3"/>
                <w:sz w:val="24"/>
              </w:rPr>
              <w:t> </w:t>
            </w:r>
            <w:r>
              <w:rPr>
                <w:sz w:val="24"/>
              </w:rPr>
              <w:t>for</w:t>
            </w:r>
            <w:r>
              <w:rPr>
                <w:spacing w:val="-3"/>
                <w:sz w:val="24"/>
              </w:rPr>
              <w:t> </w:t>
            </w:r>
            <w:r>
              <w:rPr>
                <w:sz w:val="24"/>
              </w:rPr>
              <w:t>Social</w:t>
            </w:r>
            <w:r>
              <w:rPr>
                <w:spacing w:val="-3"/>
                <w:sz w:val="24"/>
              </w:rPr>
              <w:t> </w:t>
            </w:r>
            <w:r>
              <w:rPr>
                <w:spacing w:val="-2"/>
                <w:sz w:val="24"/>
              </w:rPr>
              <w:t>Insurance;</w:t>
            </w:r>
          </w:p>
          <w:p>
            <w:pPr>
              <w:pStyle w:val="TableParagraph"/>
              <w:numPr>
                <w:ilvl w:val="0"/>
                <w:numId w:val="13"/>
              </w:numPr>
              <w:tabs>
                <w:tab w:pos="328" w:val="left" w:leader="none"/>
              </w:tabs>
              <w:spacing w:line="213" w:lineRule="auto" w:before="12" w:after="0"/>
              <w:ind w:left="327" w:right="606" w:hanging="216"/>
              <w:jc w:val="left"/>
              <w:rPr>
                <w:sz w:val="24"/>
              </w:rPr>
            </w:pPr>
            <w:hyperlink r:id="rId22">
              <w:r>
                <w:rPr>
                  <w:color w:val="0000FF"/>
                  <w:sz w:val="24"/>
                </w:rPr>
                <w:t>SFFAS</w:t>
              </w:r>
              <w:r>
                <w:rPr>
                  <w:color w:val="0000FF"/>
                  <w:spacing w:val="-7"/>
                  <w:sz w:val="24"/>
                </w:rPr>
                <w:t> </w:t>
              </w:r>
              <w:r>
                <w:rPr>
                  <w:color w:val="0000FF"/>
                  <w:sz w:val="24"/>
                </w:rPr>
                <w:t>18</w:t>
              </w:r>
            </w:hyperlink>
            <w:r>
              <w:rPr>
                <w:sz w:val="24"/>
              </w:rPr>
              <w:t>:</w:t>
            </w:r>
            <w:r>
              <w:rPr>
                <w:spacing w:val="-6"/>
                <w:sz w:val="24"/>
              </w:rPr>
              <w:t> </w:t>
            </w:r>
            <w:r>
              <w:rPr>
                <w:sz w:val="24"/>
              </w:rPr>
              <w:t>Amendments</w:t>
            </w:r>
            <w:r>
              <w:rPr>
                <w:spacing w:val="-7"/>
                <w:sz w:val="24"/>
              </w:rPr>
              <w:t> </w:t>
            </w:r>
            <w:r>
              <w:rPr>
                <w:sz w:val="24"/>
              </w:rPr>
              <w:t>to</w:t>
            </w:r>
            <w:r>
              <w:rPr>
                <w:spacing w:val="-7"/>
                <w:sz w:val="24"/>
              </w:rPr>
              <w:t> </w:t>
            </w:r>
            <w:r>
              <w:rPr>
                <w:sz w:val="24"/>
              </w:rPr>
              <w:t>Accounting</w:t>
            </w:r>
            <w:r>
              <w:rPr>
                <w:spacing w:val="-7"/>
                <w:sz w:val="24"/>
              </w:rPr>
              <w:t> </w:t>
            </w:r>
            <w:r>
              <w:rPr>
                <w:sz w:val="24"/>
              </w:rPr>
              <w:t>Standards</w:t>
            </w:r>
            <w:r>
              <w:rPr>
                <w:spacing w:val="-7"/>
                <w:sz w:val="24"/>
              </w:rPr>
              <w:t> </w:t>
            </w:r>
            <w:r>
              <w:rPr>
                <w:sz w:val="24"/>
              </w:rPr>
              <w:t>for Direct Loans and Loan Guarantees in SFFAS 2;</w:t>
            </w:r>
          </w:p>
          <w:p>
            <w:pPr>
              <w:pStyle w:val="TableParagraph"/>
              <w:numPr>
                <w:ilvl w:val="0"/>
                <w:numId w:val="13"/>
              </w:numPr>
              <w:tabs>
                <w:tab w:pos="328" w:val="left" w:leader="none"/>
              </w:tabs>
              <w:spacing w:line="216" w:lineRule="auto" w:before="3" w:after="0"/>
              <w:ind w:left="327" w:right="792" w:hanging="216"/>
              <w:jc w:val="left"/>
              <w:rPr>
                <w:sz w:val="24"/>
              </w:rPr>
            </w:pPr>
            <w:hyperlink r:id="rId23">
              <w:r>
                <w:rPr>
                  <w:color w:val="0000FF"/>
                  <w:sz w:val="24"/>
                </w:rPr>
                <w:t>SFFAS 19</w:t>
              </w:r>
            </w:hyperlink>
            <w:r>
              <w:rPr>
                <w:sz w:val="24"/>
              </w:rPr>
              <w:t>: Technical Amendments to Accounting Standards</w:t>
            </w:r>
            <w:r>
              <w:rPr>
                <w:spacing w:val="-6"/>
                <w:sz w:val="24"/>
              </w:rPr>
              <w:t> </w:t>
            </w:r>
            <w:r>
              <w:rPr>
                <w:sz w:val="24"/>
              </w:rPr>
              <w:t>for</w:t>
            </w:r>
            <w:r>
              <w:rPr>
                <w:spacing w:val="-6"/>
                <w:sz w:val="24"/>
              </w:rPr>
              <w:t> </w:t>
            </w:r>
            <w:r>
              <w:rPr>
                <w:sz w:val="24"/>
              </w:rPr>
              <w:t>Direct</w:t>
            </w:r>
            <w:r>
              <w:rPr>
                <w:spacing w:val="-5"/>
                <w:sz w:val="24"/>
              </w:rPr>
              <w:t> </w:t>
            </w:r>
            <w:r>
              <w:rPr>
                <w:sz w:val="24"/>
              </w:rPr>
              <w:t>Loans</w:t>
            </w:r>
            <w:r>
              <w:rPr>
                <w:spacing w:val="-6"/>
                <w:sz w:val="24"/>
              </w:rPr>
              <w:t> </w:t>
            </w:r>
            <w:r>
              <w:rPr>
                <w:sz w:val="24"/>
              </w:rPr>
              <w:t>and</w:t>
            </w:r>
            <w:r>
              <w:rPr>
                <w:spacing w:val="-6"/>
                <w:sz w:val="24"/>
              </w:rPr>
              <w:t> </w:t>
            </w:r>
            <w:r>
              <w:rPr>
                <w:sz w:val="24"/>
              </w:rPr>
              <w:t>Loan</w:t>
            </w:r>
            <w:r>
              <w:rPr>
                <w:spacing w:val="-6"/>
                <w:sz w:val="24"/>
              </w:rPr>
              <w:t> </w:t>
            </w:r>
            <w:r>
              <w:rPr>
                <w:sz w:val="24"/>
              </w:rPr>
              <w:t>Guarantees</w:t>
            </w:r>
            <w:r>
              <w:rPr>
                <w:spacing w:val="-6"/>
                <w:sz w:val="24"/>
              </w:rPr>
              <w:t> </w:t>
            </w:r>
            <w:r>
              <w:rPr>
                <w:sz w:val="24"/>
              </w:rPr>
              <w:t>in SFFAS</w:t>
            </w:r>
            <w:r>
              <w:rPr>
                <w:spacing w:val="-2"/>
                <w:sz w:val="24"/>
              </w:rPr>
              <w:t> </w:t>
            </w:r>
            <w:r>
              <w:rPr>
                <w:sz w:val="24"/>
              </w:rPr>
              <w:t>2;</w:t>
            </w:r>
          </w:p>
          <w:p>
            <w:pPr>
              <w:pStyle w:val="TableParagraph"/>
              <w:numPr>
                <w:ilvl w:val="0"/>
                <w:numId w:val="13"/>
              </w:numPr>
              <w:tabs>
                <w:tab w:pos="328" w:val="left" w:leader="none"/>
              </w:tabs>
              <w:spacing w:line="216" w:lineRule="auto" w:before="0" w:after="0"/>
              <w:ind w:left="327" w:right="566" w:hanging="216"/>
              <w:jc w:val="left"/>
              <w:rPr>
                <w:sz w:val="24"/>
              </w:rPr>
            </w:pPr>
            <w:hyperlink r:id="rId36">
              <w:r>
                <w:rPr>
                  <w:color w:val="0000FF"/>
                  <w:sz w:val="24"/>
                </w:rPr>
                <w:t>SFFAS 33</w:t>
              </w:r>
            </w:hyperlink>
            <w:r>
              <w:rPr>
                <w:sz w:val="24"/>
              </w:rPr>
              <w:t>: Pensions, Other Retirement Benefits, and Other</w:t>
            </w:r>
            <w:r>
              <w:rPr>
                <w:spacing w:val="-8"/>
                <w:sz w:val="24"/>
              </w:rPr>
              <w:t> </w:t>
            </w:r>
            <w:r>
              <w:rPr>
                <w:sz w:val="24"/>
              </w:rPr>
              <w:t>Postemployment</w:t>
            </w:r>
            <w:r>
              <w:rPr>
                <w:spacing w:val="-8"/>
                <w:sz w:val="24"/>
              </w:rPr>
              <w:t> </w:t>
            </w:r>
            <w:r>
              <w:rPr>
                <w:sz w:val="24"/>
              </w:rPr>
              <w:t>Benefits:</w:t>
            </w:r>
            <w:r>
              <w:rPr>
                <w:spacing w:val="-7"/>
                <w:sz w:val="24"/>
              </w:rPr>
              <w:t> </w:t>
            </w:r>
            <w:r>
              <w:rPr>
                <w:sz w:val="24"/>
              </w:rPr>
              <w:t>Reporting</w:t>
            </w:r>
            <w:r>
              <w:rPr>
                <w:spacing w:val="-8"/>
                <w:sz w:val="24"/>
              </w:rPr>
              <w:t> </w:t>
            </w:r>
            <w:r>
              <w:rPr>
                <w:sz w:val="24"/>
              </w:rPr>
              <w:t>Gains</w:t>
            </w:r>
            <w:r>
              <w:rPr>
                <w:spacing w:val="-8"/>
                <w:sz w:val="24"/>
              </w:rPr>
              <w:t> </w:t>
            </w:r>
            <w:r>
              <w:rPr>
                <w:sz w:val="24"/>
              </w:rPr>
              <w:t>and Losses from Changes in Assumptions, and Selecting Discount Rates and Valuations Dates;</w:t>
            </w:r>
          </w:p>
          <w:p>
            <w:pPr>
              <w:pStyle w:val="TableParagraph"/>
              <w:numPr>
                <w:ilvl w:val="0"/>
                <w:numId w:val="13"/>
              </w:numPr>
              <w:tabs>
                <w:tab w:pos="328" w:val="left" w:leader="none"/>
              </w:tabs>
              <w:spacing w:line="216" w:lineRule="auto" w:before="0" w:after="0"/>
              <w:ind w:left="327" w:right="459" w:hanging="216"/>
              <w:jc w:val="left"/>
              <w:rPr>
                <w:sz w:val="24"/>
              </w:rPr>
            </w:pPr>
            <w:r>
              <w:rPr>
                <w:sz w:val="24"/>
              </w:rPr>
              <w:t>Additional Reference(s) FFMSR 1.1.5 Managing Revenues</w:t>
            </w:r>
            <w:r>
              <w:rPr>
                <w:spacing w:val="-7"/>
                <w:sz w:val="24"/>
              </w:rPr>
              <w:t> </w:t>
            </w:r>
            <w:r>
              <w:rPr>
                <w:sz w:val="24"/>
              </w:rPr>
              <w:t>and</w:t>
            </w:r>
            <w:r>
              <w:rPr>
                <w:spacing w:val="-7"/>
                <w:sz w:val="24"/>
              </w:rPr>
              <w:t> </w:t>
            </w:r>
            <w:r>
              <w:rPr>
                <w:sz w:val="24"/>
              </w:rPr>
              <w:t>Other</w:t>
            </w:r>
            <w:r>
              <w:rPr>
                <w:spacing w:val="-8"/>
                <w:sz w:val="24"/>
              </w:rPr>
              <w:t> </w:t>
            </w:r>
            <w:r>
              <w:rPr>
                <w:sz w:val="24"/>
              </w:rPr>
              <w:t>Financing</w:t>
            </w:r>
            <w:r>
              <w:rPr>
                <w:spacing w:val="-6"/>
                <w:sz w:val="24"/>
              </w:rPr>
              <w:t> </w:t>
            </w:r>
            <w:r>
              <w:rPr>
                <w:sz w:val="24"/>
              </w:rPr>
              <w:t>Sources;</w:t>
            </w:r>
            <w:r>
              <w:rPr>
                <w:spacing w:val="-6"/>
                <w:sz w:val="24"/>
              </w:rPr>
              <w:t> </w:t>
            </w:r>
            <w:r>
              <w:rPr>
                <w:sz w:val="24"/>
              </w:rPr>
              <w:t>FFMSR</w:t>
            </w:r>
            <w:r>
              <w:rPr>
                <w:spacing w:val="-7"/>
                <w:sz w:val="24"/>
              </w:rPr>
              <w:t> </w:t>
            </w:r>
            <w:r>
              <w:rPr>
                <w:sz w:val="24"/>
              </w:rPr>
              <w:t>1.2.1 Determining Costs</w:t>
            </w:r>
          </w:p>
          <w:p>
            <w:pPr>
              <w:pStyle w:val="TableParagraph"/>
              <w:numPr>
                <w:ilvl w:val="0"/>
                <w:numId w:val="13"/>
              </w:numPr>
              <w:tabs>
                <w:tab w:pos="328" w:val="left" w:leader="none"/>
              </w:tabs>
              <w:spacing w:line="216" w:lineRule="auto" w:before="0" w:after="0"/>
              <w:ind w:left="327" w:right="178" w:hanging="216"/>
              <w:jc w:val="left"/>
              <w:rPr>
                <w:sz w:val="24"/>
              </w:rPr>
            </w:pPr>
            <w:hyperlink r:id="rId31">
              <w:r>
                <w:rPr>
                  <w:color w:val="0000FF"/>
                  <w:sz w:val="24"/>
                </w:rPr>
                <w:t>SFFAS 54</w:t>
              </w:r>
            </w:hyperlink>
            <w:r>
              <w:rPr>
                <w:color w:val="0000FF"/>
                <w:sz w:val="24"/>
                <w:u w:val="single" w:color="0000FF"/>
              </w:rPr>
              <w:t>: </w:t>
            </w:r>
            <w:r>
              <w:rPr>
                <w:sz w:val="24"/>
              </w:rPr>
              <w:t>Leases: An Amendment of SFFAS 5, Accounting for Liabilities of the Federal Government, and SFFAS</w:t>
            </w:r>
            <w:r>
              <w:rPr>
                <w:spacing w:val="-4"/>
                <w:sz w:val="24"/>
              </w:rPr>
              <w:t> </w:t>
            </w:r>
            <w:r>
              <w:rPr>
                <w:sz w:val="24"/>
              </w:rPr>
              <w:t>6,</w:t>
            </w:r>
            <w:r>
              <w:rPr>
                <w:spacing w:val="-4"/>
                <w:sz w:val="24"/>
              </w:rPr>
              <w:t> </w:t>
            </w:r>
            <w:r>
              <w:rPr>
                <w:sz w:val="24"/>
              </w:rPr>
              <w:t>Accounting</w:t>
            </w:r>
            <w:r>
              <w:rPr>
                <w:spacing w:val="-2"/>
                <w:sz w:val="24"/>
              </w:rPr>
              <w:t> </w:t>
            </w:r>
            <w:r>
              <w:rPr>
                <w:sz w:val="24"/>
              </w:rPr>
              <w:t>for</w:t>
            </w:r>
            <w:r>
              <w:rPr>
                <w:spacing w:val="-3"/>
                <w:sz w:val="24"/>
              </w:rPr>
              <w:t> </w:t>
            </w:r>
            <w:r>
              <w:rPr>
                <w:sz w:val="24"/>
              </w:rPr>
              <w:t>Property,</w:t>
            </w:r>
            <w:r>
              <w:rPr>
                <w:spacing w:val="-2"/>
                <w:sz w:val="24"/>
              </w:rPr>
              <w:t> </w:t>
            </w:r>
            <w:r>
              <w:rPr>
                <w:sz w:val="24"/>
              </w:rPr>
              <w:t>Plant,</w:t>
            </w:r>
            <w:r>
              <w:rPr>
                <w:spacing w:val="-2"/>
                <w:sz w:val="24"/>
              </w:rPr>
              <w:t> </w:t>
            </w:r>
            <w:r>
              <w:rPr>
                <w:sz w:val="24"/>
              </w:rPr>
              <w:t>and</w:t>
            </w:r>
            <w:r>
              <w:rPr>
                <w:spacing w:val="-3"/>
                <w:sz w:val="24"/>
              </w:rPr>
              <w:t> </w:t>
            </w:r>
            <w:r>
              <w:rPr>
                <w:spacing w:val="-2"/>
                <w:sz w:val="24"/>
              </w:rPr>
              <w:t>Equipment</w:t>
            </w:r>
          </w:p>
          <w:p>
            <w:pPr>
              <w:pStyle w:val="TableParagraph"/>
              <w:spacing w:line="248" w:lineRule="exact"/>
              <w:rPr>
                <w:sz w:val="24"/>
              </w:rPr>
            </w:pPr>
            <w:r>
              <w:rPr>
                <w:sz w:val="24"/>
              </w:rPr>
              <w:t>(Effective</w:t>
            </w:r>
            <w:r>
              <w:rPr>
                <w:spacing w:val="-7"/>
                <w:sz w:val="24"/>
              </w:rPr>
              <w:t> </w:t>
            </w:r>
            <w:r>
              <w:rPr>
                <w:sz w:val="24"/>
              </w:rPr>
              <w:t>for</w:t>
            </w:r>
            <w:r>
              <w:rPr>
                <w:spacing w:val="-7"/>
                <w:sz w:val="24"/>
              </w:rPr>
              <w:t> </w:t>
            </w:r>
            <w:r>
              <w:rPr>
                <w:sz w:val="24"/>
              </w:rPr>
              <w:t>reporting</w:t>
            </w:r>
            <w:r>
              <w:rPr>
                <w:spacing w:val="-7"/>
                <w:sz w:val="24"/>
              </w:rPr>
              <w:t> </w:t>
            </w:r>
            <w:r>
              <w:rPr>
                <w:sz w:val="24"/>
              </w:rPr>
              <w:t>periods</w:t>
            </w:r>
            <w:r>
              <w:rPr>
                <w:spacing w:val="-7"/>
                <w:sz w:val="24"/>
              </w:rPr>
              <w:t> </w:t>
            </w:r>
            <w:r>
              <w:rPr>
                <w:sz w:val="24"/>
              </w:rPr>
              <w:t>beginning</w:t>
            </w:r>
            <w:r>
              <w:rPr>
                <w:spacing w:val="-7"/>
                <w:sz w:val="24"/>
              </w:rPr>
              <w:t> </w:t>
            </w:r>
            <w:r>
              <w:rPr>
                <w:sz w:val="24"/>
              </w:rPr>
              <w:t>after</w:t>
            </w:r>
            <w:r>
              <w:rPr>
                <w:spacing w:val="-7"/>
                <w:sz w:val="24"/>
              </w:rPr>
              <w:t> </w:t>
            </w:r>
            <w:r>
              <w:rPr>
                <w:sz w:val="24"/>
              </w:rPr>
              <w:t>September 30, 2022. Early adoption is not permitted).</w:t>
            </w:r>
          </w:p>
        </w:tc>
      </w:tr>
    </w:tbl>
    <w:p>
      <w:pPr>
        <w:spacing w:after="0" w:line="248" w:lineRule="exact"/>
        <w:rPr>
          <w:sz w:val="24"/>
        </w:rPr>
        <w:sectPr>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7646"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1.1.4.2</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145"/>
              <w:rPr>
                <w:sz w:val="24"/>
              </w:rPr>
            </w:pPr>
            <w:r>
              <w:rPr>
                <w:sz w:val="24"/>
              </w:rPr>
              <w:t>Determine liability value consistent</w:t>
            </w:r>
            <w:r>
              <w:rPr>
                <w:spacing w:val="-14"/>
                <w:sz w:val="24"/>
              </w:rPr>
              <w:t> </w:t>
            </w:r>
            <w:r>
              <w:rPr>
                <w:sz w:val="24"/>
              </w:rPr>
              <w:t>with</w:t>
            </w:r>
            <w:r>
              <w:rPr>
                <w:spacing w:val="-14"/>
                <w:sz w:val="24"/>
              </w:rPr>
              <w:t> </w:t>
            </w:r>
            <w:r>
              <w:rPr>
                <w:sz w:val="24"/>
              </w:rPr>
              <w:t>the</w:t>
            </w:r>
            <w:r>
              <w:rPr>
                <w:spacing w:val="-14"/>
                <w:sz w:val="24"/>
              </w:rPr>
              <w:t> </w:t>
            </w:r>
            <w:r>
              <w:rPr>
                <w:sz w:val="24"/>
              </w:rPr>
              <w:t>FASAB </w:t>
            </w:r>
            <w:r>
              <w:rPr>
                <w:spacing w:val="-2"/>
                <w:sz w:val="24"/>
              </w:rPr>
              <w:t>Handbook.</w:t>
            </w:r>
          </w:p>
        </w:tc>
        <w:tc>
          <w:tcPr>
            <w:tcW w:w="6628" w:type="dxa"/>
          </w:tcPr>
          <w:p>
            <w:pPr>
              <w:pStyle w:val="TableParagraph"/>
              <w:numPr>
                <w:ilvl w:val="0"/>
                <w:numId w:val="14"/>
              </w:numPr>
              <w:tabs>
                <w:tab w:pos="328" w:val="left" w:leader="none"/>
              </w:tabs>
              <w:spacing w:line="247" w:lineRule="exact" w:before="0" w:after="0"/>
              <w:ind w:left="327" w:right="0" w:hanging="217"/>
              <w:jc w:val="left"/>
              <w:rPr>
                <w:sz w:val="24"/>
              </w:rPr>
            </w:pPr>
            <w:hyperlink r:id="rId16">
              <w:r>
                <w:rPr>
                  <w:color w:val="0000FF"/>
                  <w:sz w:val="24"/>
                </w:rPr>
                <w:t>SFFAS</w:t>
              </w:r>
              <w:r>
                <w:rPr>
                  <w:color w:val="0000FF"/>
                  <w:spacing w:val="-5"/>
                  <w:sz w:val="24"/>
                </w:rPr>
                <w:t> </w:t>
              </w:r>
              <w:r>
                <w:rPr>
                  <w:color w:val="0000FF"/>
                  <w:sz w:val="24"/>
                </w:rPr>
                <w:t>1</w:t>
              </w:r>
            </w:hyperlink>
            <w:r>
              <w:rPr>
                <w:sz w:val="24"/>
              </w:rPr>
              <w:t>:</w:t>
            </w:r>
            <w:r>
              <w:rPr>
                <w:spacing w:val="-4"/>
                <w:sz w:val="24"/>
              </w:rPr>
              <w:t> </w:t>
            </w:r>
            <w:r>
              <w:rPr>
                <w:sz w:val="24"/>
              </w:rPr>
              <w:t>Accounting</w:t>
            </w:r>
            <w:r>
              <w:rPr>
                <w:spacing w:val="-2"/>
                <w:sz w:val="24"/>
              </w:rPr>
              <w:t> </w:t>
            </w:r>
            <w:r>
              <w:rPr>
                <w:sz w:val="24"/>
              </w:rPr>
              <w:t>for</w:t>
            </w:r>
            <w:r>
              <w:rPr>
                <w:spacing w:val="-3"/>
                <w:sz w:val="24"/>
              </w:rPr>
              <w:t> </w:t>
            </w:r>
            <w:r>
              <w:rPr>
                <w:sz w:val="24"/>
              </w:rPr>
              <w:t>Selected</w:t>
            </w:r>
            <w:r>
              <w:rPr>
                <w:spacing w:val="-3"/>
                <w:sz w:val="24"/>
              </w:rPr>
              <w:t> </w:t>
            </w:r>
            <w:r>
              <w:rPr>
                <w:sz w:val="24"/>
              </w:rPr>
              <w:t>Assets</w:t>
            </w:r>
            <w:r>
              <w:rPr>
                <w:spacing w:val="-3"/>
                <w:sz w:val="24"/>
              </w:rPr>
              <w:t> </w:t>
            </w:r>
            <w:r>
              <w:rPr>
                <w:sz w:val="24"/>
              </w:rPr>
              <w:t>and</w:t>
            </w:r>
            <w:r>
              <w:rPr>
                <w:spacing w:val="-13"/>
                <w:sz w:val="24"/>
              </w:rPr>
              <w:t> </w:t>
            </w:r>
            <w:r>
              <w:rPr>
                <w:spacing w:val="-2"/>
                <w:sz w:val="24"/>
              </w:rPr>
              <w:t>Liabilities;</w:t>
            </w:r>
          </w:p>
          <w:p>
            <w:pPr>
              <w:pStyle w:val="TableParagraph"/>
              <w:numPr>
                <w:ilvl w:val="0"/>
                <w:numId w:val="14"/>
              </w:numPr>
              <w:tabs>
                <w:tab w:pos="328" w:val="left" w:leader="none"/>
              </w:tabs>
              <w:spacing w:line="213" w:lineRule="auto" w:before="12" w:after="0"/>
              <w:ind w:left="327" w:right="1167" w:hanging="216"/>
              <w:jc w:val="left"/>
              <w:rPr>
                <w:sz w:val="24"/>
              </w:rPr>
            </w:pPr>
            <w:hyperlink r:id="rId17">
              <w:r>
                <w:rPr>
                  <w:color w:val="0000FF"/>
                  <w:sz w:val="24"/>
                </w:rPr>
                <w:t>SFFAS</w:t>
              </w:r>
              <w:r>
                <w:rPr>
                  <w:color w:val="0000FF"/>
                  <w:spacing w:val="-6"/>
                  <w:sz w:val="24"/>
                </w:rPr>
                <w:t> </w:t>
              </w:r>
              <w:r>
                <w:rPr>
                  <w:color w:val="0000FF"/>
                  <w:sz w:val="24"/>
                </w:rPr>
                <w:t>2</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Direct</w:t>
            </w:r>
            <w:r>
              <w:rPr>
                <w:spacing w:val="-8"/>
                <w:sz w:val="24"/>
              </w:rPr>
              <w:t> </w:t>
            </w:r>
            <w:r>
              <w:rPr>
                <w:sz w:val="24"/>
              </w:rPr>
              <w:t>Loans</w:t>
            </w:r>
            <w:r>
              <w:rPr>
                <w:spacing w:val="-6"/>
                <w:sz w:val="24"/>
              </w:rPr>
              <w:t> </w:t>
            </w:r>
            <w:r>
              <w:rPr>
                <w:sz w:val="24"/>
              </w:rPr>
              <w:t>and</w:t>
            </w:r>
            <w:r>
              <w:rPr>
                <w:spacing w:val="-5"/>
                <w:sz w:val="24"/>
              </w:rPr>
              <w:t> </w:t>
            </w:r>
            <w:r>
              <w:rPr>
                <w:sz w:val="24"/>
              </w:rPr>
              <w:t>Loan </w:t>
            </w:r>
            <w:r>
              <w:rPr>
                <w:spacing w:val="-2"/>
                <w:sz w:val="24"/>
              </w:rPr>
              <w:t>Guarantees;</w:t>
            </w:r>
          </w:p>
          <w:p>
            <w:pPr>
              <w:pStyle w:val="TableParagraph"/>
              <w:numPr>
                <w:ilvl w:val="0"/>
                <w:numId w:val="14"/>
              </w:numPr>
              <w:tabs>
                <w:tab w:pos="328" w:val="left" w:leader="none"/>
              </w:tabs>
              <w:spacing w:line="216" w:lineRule="auto" w:before="3" w:after="0"/>
              <w:ind w:left="327" w:right="1047" w:hanging="216"/>
              <w:jc w:val="left"/>
              <w:rPr>
                <w:sz w:val="24"/>
              </w:rPr>
            </w:pPr>
            <w:hyperlink r:id="rId33">
              <w:r>
                <w:rPr>
                  <w:color w:val="0000FF"/>
                  <w:sz w:val="24"/>
                </w:rPr>
                <w:t>SFFAS</w:t>
              </w:r>
              <w:r>
                <w:rPr>
                  <w:color w:val="0000FF"/>
                  <w:spacing w:val="-6"/>
                  <w:sz w:val="24"/>
                </w:rPr>
                <w:t> </w:t>
              </w:r>
              <w:r>
                <w:rPr>
                  <w:color w:val="0000FF"/>
                  <w:sz w:val="24"/>
                </w:rPr>
                <w:t>5</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Liabilities</w:t>
            </w:r>
            <w:r>
              <w:rPr>
                <w:spacing w:val="-6"/>
                <w:sz w:val="24"/>
              </w:rPr>
              <w:t> </w:t>
            </w:r>
            <w:r>
              <w:rPr>
                <w:sz w:val="24"/>
              </w:rPr>
              <w:t>of</w:t>
            </w:r>
            <w:r>
              <w:rPr>
                <w:spacing w:val="-6"/>
                <w:sz w:val="24"/>
              </w:rPr>
              <w:t> </w:t>
            </w:r>
            <w:r>
              <w:rPr>
                <w:sz w:val="24"/>
              </w:rPr>
              <w:t>the</w:t>
            </w:r>
            <w:r>
              <w:rPr>
                <w:spacing w:val="-6"/>
                <w:sz w:val="24"/>
              </w:rPr>
              <w:t> </w:t>
            </w:r>
            <w:r>
              <w:rPr>
                <w:sz w:val="24"/>
              </w:rPr>
              <w:t>Federal </w:t>
            </w:r>
            <w:r>
              <w:rPr>
                <w:spacing w:val="-2"/>
                <w:sz w:val="24"/>
              </w:rPr>
              <w:t>Government;</w:t>
            </w:r>
          </w:p>
          <w:p>
            <w:pPr>
              <w:pStyle w:val="TableParagraph"/>
              <w:numPr>
                <w:ilvl w:val="0"/>
                <w:numId w:val="14"/>
              </w:numPr>
              <w:tabs>
                <w:tab w:pos="328" w:val="left" w:leader="none"/>
              </w:tabs>
              <w:spacing w:line="255" w:lineRule="exact" w:before="0" w:after="0"/>
              <w:ind w:left="327" w:right="0" w:hanging="217"/>
              <w:jc w:val="left"/>
              <w:rPr>
                <w:sz w:val="24"/>
              </w:rPr>
            </w:pPr>
            <w:hyperlink r:id="rId19">
              <w:r>
                <w:rPr>
                  <w:color w:val="0000FF"/>
                  <w:sz w:val="24"/>
                </w:rPr>
                <w:t>SFFAS</w:t>
              </w:r>
              <w:r>
                <w:rPr>
                  <w:color w:val="0000FF"/>
                  <w:spacing w:val="-4"/>
                  <w:sz w:val="24"/>
                </w:rPr>
                <w:t> </w:t>
              </w:r>
              <w:r>
                <w:rPr>
                  <w:color w:val="0000FF"/>
                  <w:sz w:val="24"/>
                </w:rPr>
                <w:t>6</w:t>
              </w:r>
            </w:hyperlink>
            <w:r>
              <w:rPr>
                <w:sz w:val="24"/>
              </w:rPr>
              <w:t>:</w:t>
            </w:r>
            <w:r>
              <w:rPr>
                <w:spacing w:val="-4"/>
                <w:sz w:val="24"/>
              </w:rPr>
              <w:t> </w:t>
            </w:r>
            <w:r>
              <w:rPr>
                <w:sz w:val="24"/>
              </w:rPr>
              <w:t>Accounting</w:t>
            </w:r>
            <w:r>
              <w:rPr>
                <w:spacing w:val="-2"/>
                <w:sz w:val="24"/>
              </w:rPr>
              <w:t> </w:t>
            </w:r>
            <w:r>
              <w:rPr>
                <w:sz w:val="24"/>
              </w:rPr>
              <w:t>for</w:t>
            </w:r>
            <w:r>
              <w:rPr>
                <w:spacing w:val="-3"/>
                <w:sz w:val="24"/>
              </w:rPr>
              <w:t> </w:t>
            </w:r>
            <w:r>
              <w:rPr>
                <w:sz w:val="24"/>
              </w:rPr>
              <w:t>Property,</w:t>
            </w:r>
            <w:r>
              <w:rPr>
                <w:spacing w:val="-2"/>
                <w:sz w:val="24"/>
              </w:rPr>
              <w:t> </w:t>
            </w:r>
            <w:r>
              <w:rPr>
                <w:sz w:val="24"/>
              </w:rPr>
              <w:t>Plant,</w:t>
            </w:r>
            <w:r>
              <w:rPr>
                <w:spacing w:val="-3"/>
                <w:sz w:val="24"/>
              </w:rPr>
              <w:t> </w:t>
            </w:r>
            <w:r>
              <w:rPr>
                <w:sz w:val="24"/>
              </w:rPr>
              <w:t>and</w:t>
            </w:r>
            <w:r>
              <w:rPr>
                <w:spacing w:val="-7"/>
                <w:sz w:val="24"/>
              </w:rPr>
              <w:t> </w:t>
            </w:r>
            <w:r>
              <w:rPr>
                <w:spacing w:val="-2"/>
                <w:sz w:val="24"/>
              </w:rPr>
              <w:t>Equipment;</w:t>
            </w:r>
          </w:p>
          <w:p>
            <w:pPr>
              <w:pStyle w:val="TableParagraph"/>
              <w:numPr>
                <w:ilvl w:val="0"/>
                <w:numId w:val="14"/>
              </w:numPr>
              <w:tabs>
                <w:tab w:pos="328" w:val="left" w:leader="none"/>
              </w:tabs>
              <w:spacing w:line="216" w:lineRule="auto" w:before="9" w:after="0"/>
              <w:ind w:left="327" w:right="378"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Sources and Concepts for Reconciling Budgetary and Financial</w:t>
            </w:r>
            <w:r>
              <w:rPr>
                <w:spacing w:val="-26"/>
                <w:sz w:val="24"/>
              </w:rPr>
              <w:t> </w:t>
            </w:r>
            <w:r>
              <w:rPr>
                <w:sz w:val="24"/>
              </w:rPr>
              <w:t>Accounting;</w:t>
            </w:r>
          </w:p>
          <w:p>
            <w:pPr>
              <w:pStyle w:val="TableParagraph"/>
              <w:numPr>
                <w:ilvl w:val="0"/>
                <w:numId w:val="14"/>
              </w:numPr>
              <w:tabs>
                <w:tab w:pos="328" w:val="left" w:leader="none"/>
              </w:tabs>
              <w:spacing w:line="216" w:lineRule="auto" w:before="0" w:after="0"/>
              <w:ind w:left="327" w:right="373" w:hanging="216"/>
              <w:jc w:val="both"/>
              <w:rPr>
                <w:sz w:val="24"/>
              </w:rPr>
            </w:pPr>
            <w:hyperlink r:id="rId34">
              <w:r>
                <w:rPr>
                  <w:color w:val="0000FF"/>
                  <w:sz w:val="24"/>
                </w:rPr>
                <w:t>SFFAS 12</w:t>
              </w:r>
            </w:hyperlink>
            <w:r>
              <w:rPr>
                <w:sz w:val="24"/>
              </w:rPr>
              <w:t>: Recognition of Contingent Liabilities Arising from</w:t>
            </w:r>
            <w:r>
              <w:rPr>
                <w:spacing w:val="-6"/>
                <w:sz w:val="24"/>
              </w:rPr>
              <w:t> </w:t>
            </w:r>
            <w:r>
              <w:rPr>
                <w:sz w:val="24"/>
              </w:rPr>
              <w:t>Litigation:</w:t>
            </w:r>
            <w:r>
              <w:rPr>
                <w:spacing w:val="-6"/>
                <w:sz w:val="24"/>
              </w:rPr>
              <w:t> </w:t>
            </w:r>
            <w:r>
              <w:rPr>
                <w:sz w:val="24"/>
              </w:rPr>
              <w:t>An</w:t>
            </w:r>
            <w:r>
              <w:rPr>
                <w:spacing w:val="-6"/>
                <w:sz w:val="24"/>
              </w:rPr>
              <w:t> </w:t>
            </w:r>
            <w:r>
              <w:rPr>
                <w:sz w:val="24"/>
              </w:rPr>
              <w:t>Amendment</w:t>
            </w:r>
            <w:r>
              <w:rPr>
                <w:spacing w:val="-6"/>
                <w:sz w:val="24"/>
              </w:rPr>
              <w:t> </w:t>
            </w:r>
            <w:r>
              <w:rPr>
                <w:sz w:val="24"/>
              </w:rPr>
              <w:t>of</w:t>
            </w:r>
            <w:r>
              <w:rPr>
                <w:spacing w:val="-7"/>
                <w:sz w:val="24"/>
              </w:rPr>
              <w:t> </w:t>
            </w:r>
            <w:r>
              <w:rPr>
                <w:sz w:val="24"/>
              </w:rPr>
              <w:t>SFFAS</w:t>
            </w:r>
            <w:r>
              <w:rPr>
                <w:spacing w:val="-9"/>
                <w:sz w:val="24"/>
              </w:rPr>
              <w:t> </w:t>
            </w:r>
            <w:r>
              <w:rPr>
                <w:sz w:val="24"/>
              </w:rPr>
              <w:t>5,</w:t>
            </w:r>
            <w:r>
              <w:rPr>
                <w:spacing w:val="-8"/>
                <w:sz w:val="24"/>
              </w:rPr>
              <w:t> </w:t>
            </w:r>
            <w:r>
              <w:rPr>
                <w:sz w:val="24"/>
              </w:rPr>
              <w:t>Accounting for Liabilities of the Federal</w:t>
            </w:r>
            <w:r>
              <w:rPr>
                <w:spacing w:val="-18"/>
                <w:sz w:val="24"/>
              </w:rPr>
              <w:t> </w:t>
            </w:r>
            <w:r>
              <w:rPr>
                <w:sz w:val="24"/>
              </w:rPr>
              <w:t>Government;</w:t>
            </w:r>
          </w:p>
          <w:p>
            <w:pPr>
              <w:pStyle w:val="TableParagraph"/>
              <w:numPr>
                <w:ilvl w:val="0"/>
                <w:numId w:val="14"/>
              </w:numPr>
              <w:tabs>
                <w:tab w:pos="328" w:val="left" w:leader="none"/>
              </w:tabs>
              <w:spacing w:line="255" w:lineRule="exact" w:before="0" w:after="0"/>
              <w:ind w:left="327" w:right="0" w:hanging="217"/>
              <w:jc w:val="both"/>
              <w:rPr>
                <w:sz w:val="24"/>
              </w:rPr>
            </w:pPr>
            <w:hyperlink r:id="rId35">
              <w:r>
                <w:rPr>
                  <w:color w:val="0000FF"/>
                  <w:sz w:val="24"/>
                </w:rPr>
                <w:t>SFFAS</w:t>
              </w:r>
              <w:r>
                <w:rPr>
                  <w:color w:val="0000FF"/>
                  <w:spacing w:val="-4"/>
                  <w:sz w:val="24"/>
                </w:rPr>
                <w:t> </w:t>
              </w:r>
              <w:r>
                <w:rPr>
                  <w:color w:val="0000FF"/>
                  <w:sz w:val="24"/>
                </w:rPr>
                <w:t>17</w:t>
              </w:r>
            </w:hyperlink>
            <w:r>
              <w:rPr>
                <w:sz w:val="24"/>
              </w:rPr>
              <w:t>:</w:t>
            </w:r>
            <w:r>
              <w:rPr>
                <w:spacing w:val="-2"/>
                <w:sz w:val="24"/>
              </w:rPr>
              <w:t> </w:t>
            </w:r>
            <w:r>
              <w:rPr>
                <w:sz w:val="24"/>
              </w:rPr>
              <w:t>Accounting</w:t>
            </w:r>
            <w:r>
              <w:rPr>
                <w:spacing w:val="-3"/>
                <w:sz w:val="24"/>
              </w:rPr>
              <w:t> </w:t>
            </w:r>
            <w:r>
              <w:rPr>
                <w:sz w:val="24"/>
              </w:rPr>
              <w:t>for</w:t>
            </w:r>
            <w:r>
              <w:rPr>
                <w:spacing w:val="-3"/>
                <w:sz w:val="24"/>
              </w:rPr>
              <w:t> </w:t>
            </w:r>
            <w:r>
              <w:rPr>
                <w:sz w:val="24"/>
              </w:rPr>
              <w:t>Social</w:t>
            </w:r>
            <w:r>
              <w:rPr>
                <w:spacing w:val="-3"/>
                <w:sz w:val="24"/>
              </w:rPr>
              <w:t> </w:t>
            </w:r>
            <w:r>
              <w:rPr>
                <w:spacing w:val="-2"/>
                <w:sz w:val="24"/>
              </w:rPr>
              <w:t>Insurance;</w:t>
            </w:r>
          </w:p>
          <w:p>
            <w:pPr>
              <w:pStyle w:val="TableParagraph"/>
              <w:numPr>
                <w:ilvl w:val="0"/>
                <w:numId w:val="14"/>
              </w:numPr>
              <w:tabs>
                <w:tab w:pos="328" w:val="left" w:leader="none"/>
              </w:tabs>
              <w:spacing w:line="213" w:lineRule="auto" w:before="12" w:after="0"/>
              <w:ind w:left="327" w:right="606" w:hanging="216"/>
              <w:jc w:val="left"/>
              <w:rPr>
                <w:sz w:val="24"/>
              </w:rPr>
            </w:pPr>
            <w:hyperlink r:id="rId22">
              <w:r>
                <w:rPr>
                  <w:color w:val="0000FF"/>
                  <w:sz w:val="24"/>
                </w:rPr>
                <w:t>SFFAS</w:t>
              </w:r>
              <w:r>
                <w:rPr>
                  <w:color w:val="0000FF"/>
                  <w:spacing w:val="-7"/>
                  <w:sz w:val="24"/>
                </w:rPr>
                <w:t> </w:t>
              </w:r>
              <w:r>
                <w:rPr>
                  <w:color w:val="0000FF"/>
                  <w:sz w:val="24"/>
                </w:rPr>
                <w:t>18</w:t>
              </w:r>
            </w:hyperlink>
            <w:r>
              <w:rPr>
                <w:sz w:val="24"/>
              </w:rPr>
              <w:t>:</w:t>
            </w:r>
            <w:r>
              <w:rPr>
                <w:spacing w:val="-6"/>
                <w:sz w:val="24"/>
              </w:rPr>
              <w:t> </w:t>
            </w:r>
            <w:r>
              <w:rPr>
                <w:sz w:val="24"/>
              </w:rPr>
              <w:t>Amendments</w:t>
            </w:r>
            <w:r>
              <w:rPr>
                <w:spacing w:val="-7"/>
                <w:sz w:val="24"/>
              </w:rPr>
              <w:t> </w:t>
            </w:r>
            <w:r>
              <w:rPr>
                <w:sz w:val="24"/>
              </w:rPr>
              <w:t>to</w:t>
            </w:r>
            <w:r>
              <w:rPr>
                <w:spacing w:val="-7"/>
                <w:sz w:val="24"/>
              </w:rPr>
              <w:t> </w:t>
            </w:r>
            <w:r>
              <w:rPr>
                <w:sz w:val="24"/>
              </w:rPr>
              <w:t>Accounting</w:t>
            </w:r>
            <w:r>
              <w:rPr>
                <w:spacing w:val="-7"/>
                <w:sz w:val="24"/>
              </w:rPr>
              <w:t> </w:t>
            </w:r>
            <w:r>
              <w:rPr>
                <w:sz w:val="24"/>
              </w:rPr>
              <w:t>Standards</w:t>
            </w:r>
            <w:r>
              <w:rPr>
                <w:spacing w:val="-7"/>
                <w:sz w:val="24"/>
              </w:rPr>
              <w:t> </w:t>
            </w:r>
            <w:r>
              <w:rPr>
                <w:sz w:val="24"/>
              </w:rPr>
              <w:t>for Direct Loans and Loan Guarantees in SFFAS 2;</w:t>
            </w:r>
          </w:p>
          <w:p>
            <w:pPr>
              <w:pStyle w:val="TableParagraph"/>
              <w:numPr>
                <w:ilvl w:val="0"/>
                <w:numId w:val="14"/>
              </w:numPr>
              <w:tabs>
                <w:tab w:pos="328" w:val="left" w:leader="none"/>
              </w:tabs>
              <w:spacing w:line="216" w:lineRule="auto" w:before="3" w:after="0"/>
              <w:ind w:left="327" w:right="792" w:hanging="216"/>
              <w:jc w:val="left"/>
              <w:rPr>
                <w:sz w:val="24"/>
              </w:rPr>
            </w:pPr>
            <w:hyperlink r:id="rId23">
              <w:r>
                <w:rPr>
                  <w:color w:val="0000FF"/>
                  <w:sz w:val="24"/>
                </w:rPr>
                <w:t>SFFAS 19</w:t>
              </w:r>
            </w:hyperlink>
            <w:r>
              <w:rPr>
                <w:sz w:val="24"/>
              </w:rPr>
              <w:t>: Technical Amendments to Accounting Standards</w:t>
            </w:r>
            <w:r>
              <w:rPr>
                <w:spacing w:val="-6"/>
                <w:sz w:val="24"/>
              </w:rPr>
              <w:t> </w:t>
            </w:r>
            <w:r>
              <w:rPr>
                <w:sz w:val="24"/>
              </w:rPr>
              <w:t>for</w:t>
            </w:r>
            <w:r>
              <w:rPr>
                <w:spacing w:val="-6"/>
                <w:sz w:val="24"/>
              </w:rPr>
              <w:t> </w:t>
            </w:r>
            <w:r>
              <w:rPr>
                <w:sz w:val="24"/>
              </w:rPr>
              <w:t>Direct</w:t>
            </w:r>
            <w:r>
              <w:rPr>
                <w:spacing w:val="-5"/>
                <w:sz w:val="24"/>
              </w:rPr>
              <w:t> </w:t>
            </w:r>
            <w:r>
              <w:rPr>
                <w:sz w:val="24"/>
              </w:rPr>
              <w:t>Loans</w:t>
            </w:r>
            <w:r>
              <w:rPr>
                <w:spacing w:val="-6"/>
                <w:sz w:val="24"/>
              </w:rPr>
              <w:t> </w:t>
            </w:r>
            <w:r>
              <w:rPr>
                <w:sz w:val="24"/>
              </w:rPr>
              <w:t>and</w:t>
            </w:r>
            <w:r>
              <w:rPr>
                <w:spacing w:val="-6"/>
                <w:sz w:val="24"/>
              </w:rPr>
              <w:t> </w:t>
            </w:r>
            <w:r>
              <w:rPr>
                <w:sz w:val="24"/>
              </w:rPr>
              <w:t>Loan</w:t>
            </w:r>
            <w:r>
              <w:rPr>
                <w:spacing w:val="-6"/>
                <w:sz w:val="24"/>
              </w:rPr>
              <w:t> </w:t>
            </w:r>
            <w:r>
              <w:rPr>
                <w:sz w:val="24"/>
              </w:rPr>
              <w:t>Guarantees</w:t>
            </w:r>
            <w:r>
              <w:rPr>
                <w:spacing w:val="-6"/>
                <w:sz w:val="24"/>
              </w:rPr>
              <w:t> </w:t>
            </w:r>
            <w:r>
              <w:rPr>
                <w:sz w:val="24"/>
              </w:rPr>
              <w:t>in SFFAS 2;</w:t>
            </w:r>
          </w:p>
          <w:p>
            <w:pPr>
              <w:pStyle w:val="TableParagraph"/>
              <w:numPr>
                <w:ilvl w:val="0"/>
                <w:numId w:val="14"/>
              </w:numPr>
              <w:tabs>
                <w:tab w:pos="328" w:val="left" w:leader="none"/>
              </w:tabs>
              <w:spacing w:line="216" w:lineRule="auto" w:before="0" w:after="0"/>
              <w:ind w:left="327" w:right="566" w:hanging="216"/>
              <w:jc w:val="left"/>
              <w:rPr>
                <w:sz w:val="24"/>
              </w:rPr>
            </w:pPr>
            <w:hyperlink r:id="rId36">
              <w:r>
                <w:rPr>
                  <w:color w:val="0000FF"/>
                  <w:sz w:val="24"/>
                </w:rPr>
                <w:t>SFFAS 33</w:t>
              </w:r>
            </w:hyperlink>
            <w:r>
              <w:rPr>
                <w:sz w:val="24"/>
              </w:rPr>
              <w:t>: Pensions, Other Retirement Benefits, and Other</w:t>
            </w:r>
            <w:r>
              <w:rPr>
                <w:spacing w:val="-8"/>
                <w:sz w:val="24"/>
              </w:rPr>
              <w:t> </w:t>
            </w:r>
            <w:r>
              <w:rPr>
                <w:sz w:val="24"/>
              </w:rPr>
              <w:t>Postemployment</w:t>
            </w:r>
            <w:r>
              <w:rPr>
                <w:spacing w:val="-8"/>
                <w:sz w:val="24"/>
              </w:rPr>
              <w:t> </w:t>
            </w:r>
            <w:r>
              <w:rPr>
                <w:sz w:val="24"/>
              </w:rPr>
              <w:t>Benefits:</w:t>
            </w:r>
            <w:r>
              <w:rPr>
                <w:spacing w:val="-7"/>
                <w:sz w:val="24"/>
              </w:rPr>
              <w:t> </w:t>
            </w:r>
            <w:r>
              <w:rPr>
                <w:sz w:val="24"/>
              </w:rPr>
              <w:t>Reporting</w:t>
            </w:r>
            <w:r>
              <w:rPr>
                <w:spacing w:val="-8"/>
                <w:sz w:val="24"/>
              </w:rPr>
              <w:t> </w:t>
            </w:r>
            <w:r>
              <w:rPr>
                <w:sz w:val="24"/>
              </w:rPr>
              <w:t>Gains</w:t>
            </w:r>
            <w:r>
              <w:rPr>
                <w:spacing w:val="-8"/>
                <w:sz w:val="24"/>
              </w:rPr>
              <w:t> </w:t>
            </w:r>
            <w:r>
              <w:rPr>
                <w:sz w:val="24"/>
              </w:rPr>
              <w:t>and Losses from Changes in Assumptions, and Selecting Discount Rates and Valuations Dates;</w:t>
            </w:r>
          </w:p>
          <w:p>
            <w:pPr>
              <w:pStyle w:val="TableParagraph"/>
              <w:numPr>
                <w:ilvl w:val="0"/>
                <w:numId w:val="14"/>
              </w:numPr>
              <w:tabs>
                <w:tab w:pos="328" w:val="left" w:leader="none"/>
              </w:tabs>
              <w:spacing w:line="216" w:lineRule="auto" w:before="0" w:after="0"/>
              <w:ind w:left="327" w:right="459" w:hanging="216"/>
              <w:jc w:val="left"/>
              <w:rPr>
                <w:sz w:val="24"/>
              </w:rPr>
            </w:pPr>
            <w:r>
              <w:rPr>
                <w:sz w:val="24"/>
              </w:rPr>
              <w:t>Additional Reference(s) FFMSR 1.1.5 Managing Revenues</w:t>
            </w:r>
            <w:r>
              <w:rPr>
                <w:spacing w:val="-7"/>
                <w:sz w:val="24"/>
              </w:rPr>
              <w:t> </w:t>
            </w:r>
            <w:r>
              <w:rPr>
                <w:sz w:val="24"/>
              </w:rPr>
              <w:t>and</w:t>
            </w:r>
            <w:r>
              <w:rPr>
                <w:spacing w:val="-7"/>
                <w:sz w:val="24"/>
              </w:rPr>
              <w:t> </w:t>
            </w:r>
            <w:r>
              <w:rPr>
                <w:sz w:val="24"/>
              </w:rPr>
              <w:t>Other</w:t>
            </w:r>
            <w:r>
              <w:rPr>
                <w:spacing w:val="-8"/>
                <w:sz w:val="24"/>
              </w:rPr>
              <w:t> </w:t>
            </w:r>
            <w:r>
              <w:rPr>
                <w:sz w:val="24"/>
              </w:rPr>
              <w:t>Financing</w:t>
            </w:r>
            <w:r>
              <w:rPr>
                <w:spacing w:val="-6"/>
                <w:sz w:val="24"/>
              </w:rPr>
              <w:t> </w:t>
            </w:r>
            <w:r>
              <w:rPr>
                <w:sz w:val="24"/>
              </w:rPr>
              <w:t>Sources;</w:t>
            </w:r>
            <w:r>
              <w:rPr>
                <w:spacing w:val="-6"/>
                <w:sz w:val="24"/>
              </w:rPr>
              <w:t> </w:t>
            </w:r>
            <w:r>
              <w:rPr>
                <w:sz w:val="24"/>
              </w:rPr>
              <w:t>FFMSR</w:t>
            </w:r>
            <w:r>
              <w:rPr>
                <w:spacing w:val="-7"/>
                <w:sz w:val="24"/>
              </w:rPr>
              <w:t> </w:t>
            </w:r>
            <w:r>
              <w:rPr>
                <w:sz w:val="24"/>
              </w:rPr>
              <w:t>1.2.1 Determining Costs</w:t>
            </w:r>
          </w:p>
          <w:p>
            <w:pPr>
              <w:pStyle w:val="TableParagraph"/>
              <w:numPr>
                <w:ilvl w:val="0"/>
                <w:numId w:val="14"/>
              </w:numPr>
              <w:tabs>
                <w:tab w:pos="328" w:val="left" w:leader="none"/>
              </w:tabs>
              <w:spacing w:line="216" w:lineRule="auto" w:before="0" w:after="0"/>
              <w:ind w:left="327" w:right="178" w:hanging="216"/>
              <w:jc w:val="left"/>
              <w:rPr>
                <w:sz w:val="24"/>
              </w:rPr>
            </w:pPr>
            <w:hyperlink r:id="rId31">
              <w:r>
                <w:rPr>
                  <w:color w:val="0000FF"/>
                  <w:sz w:val="24"/>
                </w:rPr>
                <w:t>SFFAS 54</w:t>
              </w:r>
            </w:hyperlink>
            <w:r>
              <w:rPr>
                <w:sz w:val="24"/>
              </w:rPr>
              <w:t>: Leases: An Amendment of SFFAS 5, Accounting for Liabilities of the Federal Government, and SFFAS</w:t>
            </w:r>
            <w:r>
              <w:rPr>
                <w:spacing w:val="-4"/>
                <w:sz w:val="24"/>
              </w:rPr>
              <w:t> </w:t>
            </w:r>
            <w:r>
              <w:rPr>
                <w:sz w:val="24"/>
              </w:rPr>
              <w:t>6,</w:t>
            </w:r>
            <w:r>
              <w:rPr>
                <w:spacing w:val="-4"/>
                <w:sz w:val="24"/>
              </w:rPr>
              <w:t> </w:t>
            </w:r>
            <w:r>
              <w:rPr>
                <w:sz w:val="24"/>
              </w:rPr>
              <w:t>Accounting</w:t>
            </w:r>
            <w:r>
              <w:rPr>
                <w:spacing w:val="-2"/>
                <w:sz w:val="24"/>
              </w:rPr>
              <w:t> </w:t>
            </w:r>
            <w:r>
              <w:rPr>
                <w:sz w:val="24"/>
              </w:rPr>
              <w:t>for</w:t>
            </w:r>
            <w:r>
              <w:rPr>
                <w:spacing w:val="-3"/>
                <w:sz w:val="24"/>
              </w:rPr>
              <w:t> </w:t>
            </w:r>
            <w:r>
              <w:rPr>
                <w:sz w:val="24"/>
              </w:rPr>
              <w:t>Property,</w:t>
            </w:r>
            <w:r>
              <w:rPr>
                <w:spacing w:val="-2"/>
                <w:sz w:val="24"/>
              </w:rPr>
              <w:t> </w:t>
            </w:r>
            <w:r>
              <w:rPr>
                <w:sz w:val="24"/>
              </w:rPr>
              <w:t>Plant,</w:t>
            </w:r>
            <w:r>
              <w:rPr>
                <w:spacing w:val="-2"/>
                <w:sz w:val="24"/>
              </w:rPr>
              <w:t> </w:t>
            </w:r>
            <w:r>
              <w:rPr>
                <w:sz w:val="24"/>
              </w:rPr>
              <w:t>and</w:t>
            </w:r>
            <w:r>
              <w:rPr>
                <w:spacing w:val="-3"/>
                <w:sz w:val="24"/>
              </w:rPr>
              <w:t> </w:t>
            </w:r>
            <w:r>
              <w:rPr>
                <w:spacing w:val="-2"/>
                <w:sz w:val="24"/>
              </w:rPr>
              <w:t>Equipment</w:t>
            </w:r>
          </w:p>
          <w:p>
            <w:pPr>
              <w:pStyle w:val="TableParagraph"/>
              <w:spacing w:line="248" w:lineRule="exact"/>
              <w:rPr>
                <w:sz w:val="24"/>
              </w:rPr>
            </w:pPr>
            <w:r>
              <w:rPr>
                <w:sz w:val="24"/>
              </w:rPr>
              <w:t>(Effective</w:t>
            </w:r>
            <w:r>
              <w:rPr>
                <w:spacing w:val="-7"/>
                <w:sz w:val="24"/>
              </w:rPr>
              <w:t> </w:t>
            </w:r>
            <w:r>
              <w:rPr>
                <w:sz w:val="24"/>
              </w:rPr>
              <w:t>for</w:t>
            </w:r>
            <w:r>
              <w:rPr>
                <w:spacing w:val="-7"/>
                <w:sz w:val="24"/>
              </w:rPr>
              <w:t> </w:t>
            </w:r>
            <w:r>
              <w:rPr>
                <w:sz w:val="24"/>
              </w:rPr>
              <w:t>reporting</w:t>
            </w:r>
            <w:r>
              <w:rPr>
                <w:spacing w:val="-7"/>
                <w:sz w:val="24"/>
              </w:rPr>
              <w:t> </w:t>
            </w:r>
            <w:r>
              <w:rPr>
                <w:sz w:val="24"/>
              </w:rPr>
              <w:t>periods</w:t>
            </w:r>
            <w:r>
              <w:rPr>
                <w:spacing w:val="-7"/>
                <w:sz w:val="24"/>
              </w:rPr>
              <w:t> </w:t>
            </w:r>
            <w:r>
              <w:rPr>
                <w:sz w:val="24"/>
              </w:rPr>
              <w:t>beginning</w:t>
            </w:r>
            <w:r>
              <w:rPr>
                <w:spacing w:val="-7"/>
                <w:sz w:val="24"/>
              </w:rPr>
              <w:t> </w:t>
            </w:r>
            <w:r>
              <w:rPr>
                <w:sz w:val="24"/>
              </w:rPr>
              <w:t>after</w:t>
            </w:r>
            <w:r>
              <w:rPr>
                <w:spacing w:val="-7"/>
                <w:sz w:val="24"/>
              </w:rPr>
              <w:t> </w:t>
            </w:r>
            <w:r>
              <w:rPr>
                <w:sz w:val="24"/>
              </w:rPr>
              <w:t>September 30, 2023. Early adoption is not permitted).</w:t>
            </w:r>
          </w:p>
        </w:tc>
      </w:tr>
    </w:tbl>
    <w:p>
      <w:pPr>
        <w:spacing w:after="0" w:line="248" w:lineRule="exac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732"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1.1.4.3</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64"/>
              <w:rPr>
                <w:sz w:val="24"/>
              </w:rPr>
            </w:pPr>
            <w:r>
              <w:rPr>
                <w:sz w:val="24"/>
              </w:rPr>
              <w:t>Provide liability data required to post GL transactions consistent with USSGL attributes (covered/not covered, federal/non-federal), transaction codes,</w:t>
            </w:r>
            <w:r>
              <w:rPr>
                <w:spacing w:val="-13"/>
                <w:sz w:val="24"/>
              </w:rPr>
              <w:t> </w:t>
            </w:r>
            <w:r>
              <w:rPr>
                <w:sz w:val="24"/>
              </w:rPr>
              <w:t>transaction</w:t>
            </w:r>
            <w:r>
              <w:rPr>
                <w:spacing w:val="-14"/>
                <w:sz w:val="24"/>
              </w:rPr>
              <w:t> </w:t>
            </w:r>
            <w:r>
              <w:rPr>
                <w:sz w:val="24"/>
              </w:rPr>
              <w:t>categories</w:t>
            </w:r>
            <w:r>
              <w:rPr>
                <w:spacing w:val="-14"/>
                <w:sz w:val="24"/>
              </w:rPr>
              <w:t> </w:t>
            </w:r>
            <w:r>
              <w:rPr>
                <w:sz w:val="24"/>
              </w:rPr>
              <w:t>(for example, disbursements and payables), and transaction subcategories (for example, payables/accrued liabilities) as</w:t>
            </w:r>
          </w:p>
          <w:p>
            <w:pPr>
              <w:pStyle w:val="TableParagraph"/>
              <w:spacing w:line="238" w:lineRule="exact"/>
              <w:ind w:left="110"/>
              <w:rPr>
                <w:sz w:val="24"/>
              </w:rPr>
            </w:pPr>
            <w:r>
              <w:rPr>
                <w:sz w:val="24"/>
              </w:rPr>
              <w:t>defined</w:t>
            </w:r>
            <w:r>
              <w:rPr>
                <w:spacing w:val="-5"/>
                <w:sz w:val="24"/>
              </w:rPr>
              <w:t> </w:t>
            </w:r>
            <w:r>
              <w:rPr>
                <w:sz w:val="24"/>
              </w:rPr>
              <w:t>in</w:t>
            </w:r>
            <w:r>
              <w:rPr>
                <w:spacing w:val="-2"/>
                <w:sz w:val="24"/>
              </w:rPr>
              <w:t> </w:t>
            </w:r>
            <w:r>
              <w:rPr>
                <w:sz w:val="24"/>
              </w:rPr>
              <w:t>the</w:t>
            </w:r>
            <w:r>
              <w:rPr>
                <w:spacing w:val="-2"/>
                <w:sz w:val="24"/>
              </w:rPr>
              <w:t> </w:t>
            </w:r>
            <w:r>
              <w:rPr>
                <w:spacing w:val="-4"/>
                <w:sz w:val="24"/>
              </w:rPr>
              <w:t>TFM.</w:t>
            </w:r>
          </w:p>
        </w:tc>
        <w:tc>
          <w:tcPr>
            <w:tcW w:w="6628" w:type="dxa"/>
          </w:tcPr>
          <w:p>
            <w:pPr>
              <w:pStyle w:val="TableParagraph"/>
              <w:numPr>
                <w:ilvl w:val="0"/>
                <w:numId w:val="15"/>
              </w:numPr>
              <w:tabs>
                <w:tab w:pos="328" w:val="left" w:leader="none"/>
              </w:tabs>
              <w:spacing w:line="247"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3"/>
                <w:sz w:val="24"/>
              </w:rPr>
              <w:t> </w:t>
            </w:r>
            <w:r>
              <w:rPr>
                <w:sz w:val="24"/>
              </w:rPr>
              <w:t>III:</w:t>
            </w:r>
            <w:r>
              <w:rPr>
                <w:spacing w:val="-3"/>
                <w:sz w:val="24"/>
              </w:rPr>
              <w:t> </w:t>
            </w:r>
            <w:r>
              <w:rPr>
                <w:sz w:val="24"/>
              </w:rPr>
              <w:t>Account</w:t>
            </w:r>
            <w:r>
              <w:rPr>
                <w:spacing w:val="-3"/>
                <w:sz w:val="24"/>
              </w:rPr>
              <w:t> </w:t>
            </w:r>
            <w:r>
              <w:rPr>
                <w:spacing w:val="-2"/>
                <w:sz w:val="24"/>
              </w:rPr>
              <w:t>Transactions;</w:t>
            </w:r>
          </w:p>
          <w:p>
            <w:pPr>
              <w:pStyle w:val="TableParagraph"/>
              <w:numPr>
                <w:ilvl w:val="0"/>
                <w:numId w:val="15"/>
              </w:numPr>
              <w:tabs>
                <w:tab w:pos="328" w:val="left" w:leader="none"/>
              </w:tabs>
              <w:spacing w:line="213" w:lineRule="auto" w:before="12" w:after="0"/>
              <w:ind w:left="327" w:right="459" w:hanging="216"/>
              <w:jc w:val="left"/>
              <w:rPr>
                <w:sz w:val="24"/>
              </w:rPr>
            </w:pPr>
            <w:hyperlink r:id="rId14">
              <w:r>
                <w:rPr>
                  <w:color w:val="0000FF"/>
                  <w:sz w:val="24"/>
                </w:rPr>
                <w:t>USSGL</w:t>
              </w:r>
            </w:hyperlink>
            <w:r>
              <w:rPr>
                <w:sz w:val="24"/>
              </w:rPr>
              <w:t>, Section IV: Account Attributes for USSGL Proprietary</w:t>
            </w:r>
            <w:r>
              <w:rPr>
                <w:spacing w:val="-11"/>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7"/>
                <w:sz w:val="24"/>
              </w:rPr>
              <w:t> </w:t>
            </w:r>
            <w:r>
              <w:rPr>
                <w:sz w:val="24"/>
              </w:rPr>
              <w:t>Reporting;</w:t>
            </w:r>
          </w:p>
          <w:p>
            <w:pPr>
              <w:pStyle w:val="TableParagraph"/>
              <w:numPr>
                <w:ilvl w:val="0"/>
                <w:numId w:val="15"/>
              </w:numPr>
              <w:tabs>
                <w:tab w:pos="328" w:val="left" w:leader="none"/>
              </w:tabs>
              <w:spacing w:line="216" w:lineRule="auto" w:before="3"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r>
        <w:trPr>
          <w:trHeight w:val="3342" w:hRule="atLeast"/>
        </w:trPr>
        <w:tc>
          <w:tcPr>
            <w:tcW w:w="1525" w:type="dxa"/>
          </w:tcPr>
          <w:p>
            <w:pPr>
              <w:pStyle w:val="TableParagraph"/>
              <w:spacing w:line="245" w:lineRule="exact"/>
              <w:ind w:left="107"/>
              <w:rPr>
                <w:sz w:val="24"/>
              </w:rPr>
            </w:pPr>
            <w:r>
              <w:rPr>
                <w:spacing w:val="-4"/>
                <w:sz w:val="24"/>
              </w:rPr>
              <w:t>1.1.5</w:t>
            </w:r>
          </w:p>
        </w:tc>
        <w:tc>
          <w:tcPr>
            <w:tcW w:w="1761" w:type="dxa"/>
          </w:tcPr>
          <w:p>
            <w:pPr>
              <w:pStyle w:val="TableParagraph"/>
              <w:spacing w:line="216" w:lineRule="auto"/>
              <w:ind w:left="108" w:right="561"/>
              <w:jc w:val="both"/>
              <w:rPr>
                <w:sz w:val="24"/>
              </w:rPr>
            </w:pPr>
            <w:r>
              <w:rPr>
                <w:spacing w:val="-2"/>
                <w:sz w:val="24"/>
              </w:rPr>
              <w:t>Managing Revenues </w:t>
            </w:r>
            <w:r>
              <w:rPr>
                <w:sz w:val="24"/>
              </w:rPr>
              <w:t>and</w:t>
            </w:r>
            <w:r>
              <w:rPr>
                <w:spacing w:val="-17"/>
                <w:sz w:val="24"/>
              </w:rPr>
              <w:t> </w:t>
            </w:r>
            <w:r>
              <w:rPr>
                <w:sz w:val="24"/>
              </w:rPr>
              <w:t>Other </w:t>
            </w:r>
            <w:r>
              <w:rPr>
                <w:spacing w:val="-2"/>
                <w:sz w:val="24"/>
              </w:rPr>
              <w:t>Financing Sources</w:t>
            </w:r>
          </w:p>
        </w:tc>
        <w:tc>
          <w:tcPr>
            <w:tcW w:w="1984" w:type="dxa"/>
          </w:tcPr>
          <w:p>
            <w:pPr>
              <w:pStyle w:val="TableParagraph"/>
              <w:spacing w:line="245" w:lineRule="exact"/>
              <w:ind w:left="107"/>
              <w:rPr>
                <w:sz w:val="24"/>
              </w:rPr>
            </w:pPr>
            <w:r>
              <w:rPr>
                <w:spacing w:val="-2"/>
                <w:sz w:val="24"/>
              </w:rPr>
              <w:t>1.1.5.1</w:t>
            </w:r>
          </w:p>
        </w:tc>
        <w:tc>
          <w:tcPr>
            <w:tcW w:w="1534" w:type="dxa"/>
          </w:tcPr>
          <w:p>
            <w:pPr>
              <w:pStyle w:val="TableParagraph"/>
              <w:spacing w:line="245" w:lineRule="exact"/>
              <w:ind w:left="109"/>
              <w:rPr>
                <w:sz w:val="24"/>
              </w:rPr>
            </w:pPr>
            <w:r>
              <w:rPr>
                <w:spacing w:val="-5"/>
                <w:sz w:val="24"/>
              </w:rPr>
              <w:t>DI</w:t>
            </w:r>
          </w:p>
        </w:tc>
        <w:tc>
          <w:tcPr>
            <w:tcW w:w="3834" w:type="dxa"/>
          </w:tcPr>
          <w:p>
            <w:pPr>
              <w:pStyle w:val="TableParagraph"/>
              <w:spacing w:line="216" w:lineRule="auto"/>
              <w:ind w:left="110" w:right="96"/>
              <w:rPr>
                <w:sz w:val="24"/>
              </w:rPr>
            </w:pPr>
            <w:r>
              <w:rPr>
                <w:sz w:val="24"/>
              </w:rPr>
              <w:t>Capture federal government revenue or other financing type (for example, exchange</w:t>
            </w:r>
            <w:r>
              <w:rPr>
                <w:spacing w:val="40"/>
                <w:sz w:val="24"/>
              </w:rPr>
              <w:t> </w:t>
            </w:r>
            <w:r>
              <w:rPr>
                <w:sz w:val="24"/>
              </w:rPr>
              <w:t>revenues, non-exchange revenues, budgetary resources), category (for example, taxes, duties, fines, user fees, and sale of goods and services), and subcategory</w:t>
            </w:r>
            <w:r>
              <w:rPr>
                <w:spacing w:val="-13"/>
                <w:sz w:val="24"/>
              </w:rPr>
              <w:t> </w:t>
            </w:r>
            <w:r>
              <w:rPr>
                <w:sz w:val="24"/>
              </w:rPr>
              <w:t>(for</w:t>
            </w:r>
            <w:r>
              <w:rPr>
                <w:spacing w:val="-13"/>
                <w:sz w:val="24"/>
              </w:rPr>
              <w:t> </w:t>
            </w:r>
            <w:r>
              <w:rPr>
                <w:sz w:val="24"/>
              </w:rPr>
              <w:t>example,</w:t>
            </w:r>
            <w:r>
              <w:rPr>
                <w:spacing w:val="-13"/>
                <w:sz w:val="24"/>
              </w:rPr>
              <w:t> </w:t>
            </w:r>
            <w:r>
              <w:rPr>
                <w:sz w:val="24"/>
              </w:rPr>
              <w:t>income tax, excise tax, and donations) consistent with the FASAB </w:t>
            </w:r>
            <w:r>
              <w:rPr>
                <w:spacing w:val="-2"/>
                <w:sz w:val="24"/>
              </w:rPr>
              <w:t>Handbook.</w:t>
            </w:r>
          </w:p>
        </w:tc>
        <w:tc>
          <w:tcPr>
            <w:tcW w:w="6628" w:type="dxa"/>
          </w:tcPr>
          <w:p>
            <w:pPr>
              <w:pStyle w:val="TableParagraph"/>
              <w:numPr>
                <w:ilvl w:val="0"/>
                <w:numId w:val="16"/>
              </w:numPr>
              <w:tabs>
                <w:tab w:pos="328" w:val="left" w:leader="none"/>
              </w:tabs>
              <w:spacing w:line="216" w:lineRule="auto" w:before="0" w:after="0"/>
              <w:ind w:left="327" w:right="378"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Sources and Concepts for Reconciling Budgetary and Financial</w:t>
            </w:r>
            <w:r>
              <w:rPr>
                <w:spacing w:val="-26"/>
                <w:sz w:val="24"/>
              </w:rPr>
              <w:t> </w:t>
            </w:r>
            <w:r>
              <w:rPr>
                <w:sz w:val="24"/>
              </w:rPr>
              <w:t>Accounting;</w:t>
            </w:r>
          </w:p>
          <w:p>
            <w:pPr>
              <w:pStyle w:val="TableParagraph"/>
              <w:numPr>
                <w:ilvl w:val="0"/>
                <w:numId w:val="16"/>
              </w:numPr>
              <w:tabs>
                <w:tab w:pos="328" w:val="left" w:leader="none"/>
              </w:tabs>
              <w:spacing w:line="254" w:lineRule="exact" w:before="0" w:after="0"/>
              <w:ind w:left="327" w:right="0" w:hanging="217"/>
              <w:jc w:val="left"/>
              <w:rPr>
                <w:sz w:val="24"/>
              </w:rPr>
            </w:pPr>
            <w:hyperlink r:id="rId37">
              <w:r>
                <w:rPr>
                  <w:color w:val="0000FF"/>
                  <w:sz w:val="24"/>
                </w:rPr>
                <w:t>SFFAS</w:t>
              </w:r>
              <w:r>
                <w:rPr>
                  <w:color w:val="0000FF"/>
                  <w:spacing w:val="-7"/>
                  <w:sz w:val="24"/>
                </w:rPr>
                <w:t> </w:t>
              </w:r>
              <w:r>
                <w:rPr>
                  <w:color w:val="0000FF"/>
                  <w:sz w:val="24"/>
                </w:rPr>
                <w:t>27</w:t>
              </w:r>
            </w:hyperlink>
            <w:r>
              <w:rPr>
                <w:sz w:val="24"/>
              </w:rPr>
              <w:t>:</w:t>
            </w:r>
            <w:r>
              <w:rPr>
                <w:spacing w:val="-3"/>
                <w:sz w:val="24"/>
              </w:rPr>
              <w:t> </w:t>
            </w:r>
            <w:r>
              <w:rPr>
                <w:sz w:val="24"/>
              </w:rPr>
              <w:t>Identifying</w:t>
            </w:r>
            <w:r>
              <w:rPr>
                <w:spacing w:val="-4"/>
                <w:sz w:val="24"/>
              </w:rPr>
              <w:t> </w:t>
            </w:r>
            <w:r>
              <w:rPr>
                <w:sz w:val="24"/>
              </w:rPr>
              <w:t>and</w:t>
            </w:r>
            <w:r>
              <w:rPr>
                <w:spacing w:val="-4"/>
                <w:sz w:val="24"/>
              </w:rPr>
              <w:t> </w:t>
            </w:r>
            <w:r>
              <w:rPr>
                <w:sz w:val="24"/>
              </w:rPr>
              <w:t>Reporting</w:t>
            </w:r>
            <w:r>
              <w:rPr>
                <w:spacing w:val="-3"/>
                <w:sz w:val="24"/>
              </w:rPr>
              <w:t> </w:t>
            </w:r>
            <w:r>
              <w:rPr>
                <w:sz w:val="24"/>
              </w:rPr>
              <w:t>Earmarked</w:t>
            </w:r>
            <w:r>
              <w:rPr>
                <w:spacing w:val="-17"/>
                <w:sz w:val="24"/>
              </w:rPr>
              <w:t> </w:t>
            </w:r>
            <w:r>
              <w:rPr>
                <w:spacing w:val="-2"/>
                <w:sz w:val="24"/>
              </w:rPr>
              <w:t>Funds;</w:t>
            </w:r>
          </w:p>
          <w:p>
            <w:pPr>
              <w:pStyle w:val="TableParagraph"/>
              <w:numPr>
                <w:ilvl w:val="0"/>
                <w:numId w:val="16"/>
              </w:numPr>
              <w:tabs>
                <w:tab w:pos="328" w:val="left" w:leader="none"/>
              </w:tabs>
              <w:spacing w:line="265" w:lineRule="exact" w:before="0" w:after="0"/>
              <w:ind w:left="327" w:right="0" w:hanging="217"/>
              <w:jc w:val="left"/>
              <w:rPr>
                <w:sz w:val="24"/>
              </w:rPr>
            </w:pPr>
            <w:hyperlink r:id="rId38">
              <w:r>
                <w:rPr>
                  <w:color w:val="0000FF"/>
                  <w:sz w:val="24"/>
                </w:rPr>
                <w:t>SFFAS</w:t>
              </w:r>
              <w:r>
                <w:rPr>
                  <w:color w:val="0000FF"/>
                  <w:spacing w:val="-4"/>
                  <w:sz w:val="24"/>
                </w:rPr>
                <w:t> </w:t>
              </w:r>
              <w:r>
                <w:rPr>
                  <w:color w:val="0000FF"/>
                  <w:sz w:val="24"/>
                </w:rPr>
                <w:t>31</w:t>
              </w:r>
            </w:hyperlink>
            <w:r>
              <w:rPr>
                <w:sz w:val="24"/>
              </w:rPr>
              <w:t>:</w:t>
            </w:r>
            <w:r>
              <w:rPr>
                <w:spacing w:val="-3"/>
                <w:sz w:val="24"/>
              </w:rPr>
              <w:t> </w:t>
            </w:r>
            <w:r>
              <w:rPr>
                <w:sz w:val="24"/>
              </w:rPr>
              <w:t>Accounting</w:t>
            </w:r>
            <w:r>
              <w:rPr>
                <w:spacing w:val="-3"/>
                <w:sz w:val="24"/>
              </w:rPr>
              <w:t> </w:t>
            </w:r>
            <w:r>
              <w:rPr>
                <w:sz w:val="24"/>
              </w:rPr>
              <w:t>for</w:t>
            </w:r>
            <w:r>
              <w:rPr>
                <w:spacing w:val="-4"/>
                <w:sz w:val="24"/>
              </w:rPr>
              <w:t> </w:t>
            </w:r>
            <w:r>
              <w:rPr>
                <w:sz w:val="24"/>
              </w:rPr>
              <w:t>Fiduciary</w:t>
            </w:r>
            <w:r>
              <w:rPr>
                <w:spacing w:val="-5"/>
                <w:sz w:val="24"/>
              </w:rPr>
              <w:t> </w:t>
            </w:r>
            <w:r>
              <w:rPr>
                <w:spacing w:val="-2"/>
                <w:sz w:val="24"/>
              </w:rPr>
              <w:t>Activities;</w:t>
            </w:r>
          </w:p>
          <w:p>
            <w:pPr>
              <w:pStyle w:val="TableParagraph"/>
              <w:numPr>
                <w:ilvl w:val="0"/>
                <w:numId w:val="16"/>
              </w:numPr>
              <w:tabs>
                <w:tab w:pos="328" w:val="left" w:leader="none"/>
              </w:tabs>
              <w:spacing w:line="213" w:lineRule="auto" w:before="4" w:after="0"/>
              <w:ind w:left="327" w:right="1300" w:hanging="216"/>
              <w:jc w:val="left"/>
              <w:rPr>
                <w:sz w:val="24"/>
              </w:rPr>
            </w:pPr>
            <w:hyperlink r:id="rId26">
              <w:r>
                <w:rPr>
                  <w:color w:val="0000FF"/>
                  <w:sz w:val="24"/>
                </w:rPr>
                <w:t>SFFAS</w:t>
              </w:r>
              <w:r>
                <w:rPr>
                  <w:color w:val="0000FF"/>
                  <w:spacing w:val="-6"/>
                  <w:sz w:val="24"/>
                </w:rPr>
                <w:t> </w:t>
              </w:r>
              <w:r>
                <w:rPr>
                  <w:color w:val="0000FF"/>
                  <w:sz w:val="24"/>
                </w:rPr>
                <w:t>38</w:t>
              </w:r>
            </w:hyperlink>
            <w:r>
              <w:rPr>
                <w:sz w:val="24"/>
              </w:rPr>
              <w:t>:</w:t>
            </w:r>
            <w:r>
              <w:rPr>
                <w:spacing w:val="-5"/>
                <w:sz w:val="24"/>
              </w:rPr>
              <w:t> </w:t>
            </w:r>
            <w:r>
              <w:rPr>
                <w:sz w:val="24"/>
              </w:rPr>
              <w:t>Accounting</w:t>
            </w:r>
            <w:r>
              <w:rPr>
                <w:spacing w:val="-6"/>
                <w:sz w:val="24"/>
              </w:rPr>
              <w:t> </w:t>
            </w:r>
            <w:r>
              <w:rPr>
                <w:sz w:val="24"/>
              </w:rPr>
              <w:t>for</w:t>
            </w:r>
            <w:r>
              <w:rPr>
                <w:spacing w:val="-6"/>
                <w:sz w:val="24"/>
              </w:rPr>
              <w:t> </w:t>
            </w:r>
            <w:r>
              <w:rPr>
                <w:sz w:val="24"/>
              </w:rPr>
              <w:t>Federal</w:t>
            </w:r>
            <w:r>
              <w:rPr>
                <w:spacing w:val="-6"/>
                <w:sz w:val="24"/>
              </w:rPr>
              <w:t> </w:t>
            </w:r>
            <w:r>
              <w:rPr>
                <w:sz w:val="24"/>
              </w:rPr>
              <w:t>Oil</w:t>
            </w:r>
            <w:r>
              <w:rPr>
                <w:spacing w:val="-6"/>
                <w:sz w:val="24"/>
              </w:rPr>
              <w:t> </w:t>
            </w:r>
            <w:r>
              <w:rPr>
                <w:sz w:val="24"/>
              </w:rPr>
              <w:t>and</w:t>
            </w:r>
            <w:r>
              <w:rPr>
                <w:spacing w:val="-6"/>
                <w:sz w:val="24"/>
              </w:rPr>
              <w:t> </w:t>
            </w:r>
            <w:r>
              <w:rPr>
                <w:sz w:val="24"/>
              </w:rPr>
              <w:t>Gas </w:t>
            </w:r>
            <w:r>
              <w:rPr>
                <w:spacing w:val="-2"/>
                <w:sz w:val="24"/>
              </w:rPr>
              <w:t>Resources;</w:t>
            </w:r>
          </w:p>
          <w:p>
            <w:pPr>
              <w:pStyle w:val="TableParagraph"/>
              <w:numPr>
                <w:ilvl w:val="0"/>
                <w:numId w:val="16"/>
              </w:numPr>
              <w:tabs>
                <w:tab w:pos="328" w:val="left" w:leader="none"/>
              </w:tabs>
              <w:spacing w:line="216" w:lineRule="auto" w:before="3" w:after="0"/>
              <w:ind w:left="327" w:right="272" w:hanging="216"/>
              <w:jc w:val="left"/>
              <w:rPr>
                <w:sz w:val="24"/>
              </w:rPr>
            </w:pPr>
            <w:hyperlink r:id="rId39">
              <w:r>
                <w:rPr>
                  <w:color w:val="0000FF"/>
                  <w:sz w:val="24"/>
                </w:rPr>
                <w:t>SFFAS</w:t>
              </w:r>
              <w:r>
                <w:rPr>
                  <w:color w:val="0000FF"/>
                  <w:spacing w:val="-7"/>
                  <w:sz w:val="24"/>
                </w:rPr>
                <w:t> </w:t>
              </w:r>
              <w:r>
                <w:rPr>
                  <w:color w:val="0000FF"/>
                  <w:sz w:val="24"/>
                </w:rPr>
                <w:t>43</w:t>
              </w:r>
            </w:hyperlink>
            <w:r>
              <w:rPr>
                <w:sz w:val="24"/>
              </w:rPr>
              <w:t>:</w:t>
            </w:r>
            <w:r>
              <w:rPr>
                <w:spacing w:val="-6"/>
                <w:sz w:val="24"/>
              </w:rPr>
              <w:t> </w:t>
            </w:r>
            <w:r>
              <w:rPr>
                <w:sz w:val="24"/>
              </w:rPr>
              <w:t>Dedicated</w:t>
            </w:r>
            <w:r>
              <w:rPr>
                <w:spacing w:val="-6"/>
                <w:sz w:val="24"/>
              </w:rPr>
              <w:t> </w:t>
            </w:r>
            <w:r>
              <w:rPr>
                <w:sz w:val="24"/>
              </w:rPr>
              <w:t>Collections:</w:t>
            </w:r>
            <w:r>
              <w:rPr>
                <w:spacing w:val="-6"/>
                <w:sz w:val="24"/>
              </w:rPr>
              <w:t> </w:t>
            </w:r>
            <w:r>
              <w:rPr>
                <w:sz w:val="24"/>
              </w:rPr>
              <w:t>Amending</w:t>
            </w:r>
            <w:r>
              <w:rPr>
                <w:spacing w:val="-6"/>
                <w:sz w:val="24"/>
              </w:rPr>
              <w:t> </w:t>
            </w:r>
            <w:r>
              <w:rPr>
                <w:sz w:val="24"/>
              </w:rPr>
              <w:t>SFFAS</w:t>
            </w:r>
            <w:r>
              <w:rPr>
                <w:spacing w:val="-7"/>
                <w:sz w:val="24"/>
              </w:rPr>
              <w:t> </w:t>
            </w:r>
            <w:r>
              <w:rPr>
                <w:sz w:val="24"/>
              </w:rPr>
              <w:t>27, Identifying and Reporting Earmarked Funds;</w:t>
            </w:r>
          </w:p>
          <w:p>
            <w:pPr>
              <w:pStyle w:val="TableParagraph"/>
              <w:numPr>
                <w:ilvl w:val="0"/>
                <w:numId w:val="16"/>
              </w:numPr>
              <w:tabs>
                <w:tab w:pos="328" w:val="left" w:leader="none"/>
              </w:tabs>
              <w:spacing w:line="255" w:lineRule="exact" w:before="0" w:after="0"/>
              <w:ind w:left="327" w:right="0" w:hanging="217"/>
              <w:jc w:val="left"/>
              <w:rPr>
                <w:sz w:val="24"/>
              </w:rPr>
            </w:pPr>
            <w:hyperlink r:id="rId29">
              <w:r>
                <w:rPr>
                  <w:color w:val="0000FF"/>
                  <w:sz w:val="24"/>
                </w:rPr>
                <w:t>SFFAS</w:t>
              </w:r>
              <w:r>
                <w:rPr>
                  <w:color w:val="0000FF"/>
                  <w:spacing w:val="-3"/>
                  <w:sz w:val="24"/>
                </w:rPr>
                <w:t> </w:t>
              </w:r>
              <w:r>
                <w:rPr>
                  <w:color w:val="0000FF"/>
                  <w:sz w:val="24"/>
                </w:rPr>
                <w:t>53</w:t>
              </w:r>
            </w:hyperlink>
            <w:r>
              <w:rPr>
                <w:sz w:val="24"/>
              </w:rPr>
              <w:t>:</w:t>
            </w:r>
            <w:r>
              <w:rPr>
                <w:spacing w:val="-3"/>
                <w:sz w:val="24"/>
              </w:rPr>
              <w:t> </w:t>
            </w:r>
            <w:r>
              <w:rPr>
                <w:sz w:val="24"/>
              </w:rPr>
              <w:t>Budget</w:t>
            </w:r>
            <w:r>
              <w:rPr>
                <w:spacing w:val="-3"/>
                <w:sz w:val="24"/>
              </w:rPr>
              <w:t> </w:t>
            </w:r>
            <w:r>
              <w:rPr>
                <w:sz w:val="24"/>
              </w:rPr>
              <w:t>and</w:t>
            </w:r>
            <w:r>
              <w:rPr>
                <w:spacing w:val="-3"/>
                <w:sz w:val="24"/>
              </w:rPr>
              <w:t> </w:t>
            </w:r>
            <w:r>
              <w:rPr>
                <w:sz w:val="24"/>
              </w:rPr>
              <w:t>Accrual</w:t>
            </w:r>
            <w:r>
              <w:rPr>
                <w:spacing w:val="-4"/>
                <w:sz w:val="24"/>
              </w:rPr>
              <w:t> </w:t>
            </w:r>
            <w:r>
              <w:rPr>
                <w:spacing w:val="-2"/>
                <w:sz w:val="24"/>
              </w:rPr>
              <w:t>Reconciliation;</w:t>
            </w:r>
          </w:p>
          <w:p>
            <w:pPr>
              <w:pStyle w:val="TableParagraph"/>
              <w:numPr>
                <w:ilvl w:val="0"/>
                <w:numId w:val="16"/>
              </w:numPr>
              <w:tabs>
                <w:tab w:pos="328" w:val="left" w:leader="none"/>
              </w:tabs>
              <w:spacing w:line="265" w:lineRule="exact" w:before="0" w:after="0"/>
              <w:ind w:left="327" w:right="0" w:hanging="217"/>
              <w:jc w:val="left"/>
              <w:rPr>
                <w:sz w:val="24"/>
              </w:rPr>
            </w:pPr>
            <w:r>
              <w:rPr>
                <w:sz w:val="24"/>
              </w:rPr>
              <w:t>TFM</w:t>
            </w:r>
            <w:r>
              <w:rPr>
                <w:spacing w:val="-2"/>
                <w:sz w:val="24"/>
              </w:rPr>
              <w:t> </w:t>
            </w:r>
            <w:hyperlink r:id="rId40">
              <w:r>
                <w:rPr>
                  <w:color w:val="0000FF"/>
                  <w:sz w:val="24"/>
                </w:rPr>
                <w:t>Volume</w:t>
              </w:r>
              <w:r>
                <w:rPr>
                  <w:color w:val="0000FF"/>
                  <w:spacing w:val="-3"/>
                  <w:sz w:val="24"/>
                </w:rPr>
                <w:t> </w:t>
              </w:r>
              <w:r>
                <w:rPr>
                  <w:color w:val="0000FF"/>
                  <w:sz w:val="24"/>
                </w:rPr>
                <w:t>I,</w:t>
              </w:r>
              <w:r>
                <w:rPr>
                  <w:color w:val="0000FF"/>
                  <w:spacing w:val="-3"/>
                  <w:sz w:val="24"/>
                </w:rPr>
                <w:t> </w:t>
              </w:r>
              <w:r>
                <w:rPr>
                  <w:color w:val="0000FF"/>
                  <w:sz w:val="24"/>
                </w:rPr>
                <w:t>Part</w:t>
              </w:r>
              <w:r>
                <w:rPr>
                  <w:color w:val="0000FF"/>
                  <w:spacing w:val="-4"/>
                  <w:sz w:val="24"/>
                </w:rPr>
                <w:t> </w:t>
              </w:r>
              <w:r>
                <w:rPr>
                  <w:color w:val="0000FF"/>
                  <w:sz w:val="24"/>
                </w:rPr>
                <w:t>2,</w:t>
              </w:r>
              <w:r>
                <w:rPr>
                  <w:color w:val="0000FF"/>
                  <w:spacing w:val="-3"/>
                  <w:sz w:val="24"/>
                </w:rPr>
                <w:t> </w:t>
              </w:r>
              <w:r>
                <w:rPr>
                  <w:color w:val="0000FF"/>
                  <w:sz w:val="24"/>
                </w:rPr>
                <w:t>Chapter</w:t>
              </w:r>
              <w:r>
                <w:rPr>
                  <w:color w:val="0000FF"/>
                  <w:spacing w:val="-3"/>
                  <w:sz w:val="24"/>
                </w:rPr>
                <w:t> </w:t>
              </w:r>
              <w:r>
                <w:rPr>
                  <w:color w:val="0000FF"/>
                  <w:sz w:val="24"/>
                </w:rPr>
                <w:t>4700</w:t>
              </w:r>
            </w:hyperlink>
            <w:r>
              <w:rPr>
                <w:color w:val="0000FF"/>
                <w:spacing w:val="-3"/>
                <w:sz w:val="24"/>
              </w:rPr>
              <w:t> </w:t>
            </w:r>
            <w:r>
              <w:rPr>
                <w:sz w:val="24"/>
              </w:rPr>
              <w:t>Federal</w:t>
            </w:r>
            <w:r>
              <w:rPr>
                <w:spacing w:val="-2"/>
                <w:sz w:val="24"/>
              </w:rPr>
              <w:t> Entity</w:t>
            </w:r>
          </w:p>
          <w:p>
            <w:pPr>
              <w:pStyle w:val="TableParagraph"/>
              <w:spacing w:line="248" w:lineRule="exact"/>
              <w:rPr>
                <w:sz w:val="24"/>
              </w:rPr>
            </w:pPr>
            <w:r>
              <w:rPr>
                <w:sz w:val="24"/>
              </w:rPr>
              <w:t>Reporting</w:t>
            </w:r>
            <w:r>
              <w:rPr>
                <w:spacing w:val="-5"/>
                <w:sz w:val="24"/>
              </w:rPr>
              <w:t> </w:t>
            </w:r>
            <w:r>
              <w:rPr>
                <w:sz w:val="24"/>
              </w:rPr>
              <w:t>Requirements</w:t>
            </w:r>
            <w:r>
              <w:rPr>
                <w:spacing w:val="-6"/>
                <w:sz w:val="24"/>
              </w:rPr>
              <w:t> </w:t>
            </w:r>
            <w:r>
              <w:rPr>
                <w:sz w:val="24"/>
              </w:rPr>
              <w:t>for</w:t>
            </w:r>
            <w:r>
              <w:rPr>
                <w:spacing w:val="-7"/>
                <w:sz w:val="24"/>
              </w:rPr>
              <w:t> </w:t>
            </w:r>
            <w:r>
              <w:rPr>
                <w:sz w:val="24"/>
              </w:rPr>
              <w:t>the</w:t>
            </w:r>
            <w:r>
              <w:rPr>
                <w:spacing w:val="-7"/>
                <w:sz w:val="24"/>
              </w:rPr>
              <w:t> </w:t>
            </w:r>
            <w:r>
              <w:rPr>
                <w:sz w:val="24"/>
              </w:rPr>
              <w:t>Financial</w:t>
            </w:r>
            <w:r>
              <w:rPr>
                <w:spacing w:val="-6"/>
                <w:sz w:val="24"/>
              </w:rPr>
              <w:t> </w:t>
            </w:r>
            <w:r>
              <w:rPr>
                <w:sz w:val="24"/>
              </w:rPr>
              <w:t>Report</w:t>
            </w:r>
            <w:r>
              <w:rPr>
                <w:spacing w:val="-5"/>
                <w:sz w:val="24"/>
              </w:rPr>
              <w:t> </w:t>
            </w:r>
            <w:r>
              <w:rPr>
                <w:sz w:val="24"/>
              </w:rPr>
              <w:t>of</w:t>
            </w:r>
            <w:r>
              <w:rPr>
                <w:spacing w:val="-7"/>
                <w:sz w:val="24"/>
              </w:rPr>
              <w:t> </w:t>
            </w:r>
            <w:r>
              <w:rPr>
                <w:sz w:val="24"/>
              </w:rPr>
              <w:t>the United States</w:t>
            </w:r>
            <w:r>
              <w:rPr>
                <w:spacing w:val="-12"/>
                <w:sz w:val="24"/>
              </w:rPr>
              <w:t> </w:t>
            </w:r>
            <w:r>
              <w:rPr>
                <w:sz w:val="24"/>
              </w:rPr>
              <w:t>Government.</w:t>
            </w:r>
          </w:p>
        </w:tc>
      </w:tr>
    </w:tbl>
    <w:p>
      <w:pPr>
        <w:spacing w:after="0" w:line="248" w:lineRule="exac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580" w:hRule="atLeast"/>
        </w:trPr>
        <w:tc>
          <w:tcPr>
            <w:tcW w:w="1525" w:type="dxa"/>
            <w:vMerge w:val="restart"/>
          </w:tcPr>
          <w:p>
            <w:pPr>
              <w:pStyle w:val="TableParagraph"/>
              <w:ind w:left="0"/>
              <w:rPr>
                <w:rFonts w:ascii="Times New Roman"/>
                <w:sz w:val="22"/>
              </w:rPr>
            </w:pPr>
          </w:p>
        </w:tc>
        <w:tc>
          <w:tcPr>
            <w:tcW w:w="1761" w:type="dxa"/>
            <w:vMerge w:val="restart"/>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1.1.5.2</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145"/>
              <w:rPr>
                <w:sz w:val="24"/>
              </w:rPr>
            </w:pPr>
            <w:r>
              <w:rPr>
                <w:sz w:val="24"/>
              </w:rPr>
              <w:t>Determine</w:t>
            </w:r>
            <w:r>
              <w:rPr>
                <w:spacing w:val="-17"/>
                <w:sz w:val="24"/>
              </w:rPr>
              <w:t> </w:t>
            </w:r>
            <w:r>
              <w:rPr>
                <w:sz w:val="24"/>
              </w:rPr>
              <w:t>revenue</w:t>
            </w:r>
            <w:r>
              <w:rPr>
                <w:spacing w:val="-17"/>
                <w:sz w:val="24"/>
              </w:rPr>
              <w:t> </w:t>
            </w:r>
            <w:r>
              <w:rPr>
                <w:sz w:val="24"/>
              </w:rPr>
              <w:t>classification (for example, exchange, non- exchange, and other financing sourcing)</w:t>
            </w:r>
            <w:r>
              <w:rPr>
                <w:spacing w:val="-1"/>
                <w:sz w:val="24"/>
              </w:rPr>
              <w:t> </w:t>
            </w:r>
            <w:r>
              <w:rPr>
                <w:sz w:val="24"/>
              </w:rPr>
              <w:t>and</w:t>
            </w:r>
            <w:r>
              <w:rPr>
                <w:spacing w:val="-1"/>
                <w:sz w:val="24"/>
              </w:rPr>
              <w:t> </w:t>
            </w:r>
            <w:r>
              <w:rPr>
                <w:sz w:val="24"/>
              </w:rPr>
              <w:t>value</w:t>
            </w:r>
            <w:r>
              <w:rPr>
                <w:spacing w:val="-1"/>
                <w:sz w:val="24"/>
              </w:rPr>
              <w:t> </w:t>
            </w:r>
            <w:r>
              <w:rPr>
                <w:sz w:val="24"/>
              </w:rPr>
              <w:t>as specified in the FASAB Handbook.</w:t>
            </w:r>
          </w:p>
        </w:tc>
        <w:tc>
          <w:tcPr>
            <w:tcW w:w="6628" w:type="dxa"/>
          </w:tcPr>
          <w:p>
            <w:pPr>
              <w:pStyle w:val="TableParagraph"/>
              <w:numPr>
                <w:ilvl w:val="0"/>
                <w:numId w:val="17"/>
              </w:numPr>
              <w:tabs>
                <w:tab w:pos="328" w:val="left" w:leader="none"/>
              </w:tabs>
              <w:spacing w:line="216" w:lineRule="auto" w:before="0" w:after="0"/>
              <w:ind w:left="327" w:right="378"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Sources and Concepts for Reconciling Budgetary and Financial</w:t>
            </w:r>
            <w:r>
              <w:rPr>
                <w:spacing w:val="-26"/>
                <w:sz w:val="24"/>
              </w:rPr>
              <w:t> </w:t>
            </w:r>
            <w:r>
              <w:rPr>
                <w:sz w:val="24"/>
              </w:rPr>
              <w:t>Accounting;</w:t>
            </w:r>
          </w:p>
          <w:p>
            <w:pPr>
              <w:pStyle w:val="TableParagraph"/>
              <w:numPr>
                <w:ilvl w:val="0"/>
                <w:numId w:val="17"/>
              </w:numPr>
              <w:tabs>
                <w:tab w:pos="328" w:val="left" w:leader="none"/>
              </w:tabs>
              <w:spacing w:line="256" w:lineRule="exact" w:before="0" w:after="0"/>
              <w:ind w:left="327" w:right="0" w:hanging="217"/>
              <w:jc w:val="left"/>
              <w:rPr>
                <w:sz w:val="24"/>
              </w:rPr>
            </w:pPr>
            <w:hyperlink r:id="rId37">
              <w:r>
                <w:rPr>
                  <w:color w:val="0000FF"/>
                  <w:sz w:val="24"/>
                </w:rPr>
                <w:t>SFFAS</w:t>
              </w:r>
              <w:r>
                <w:rPr>
                  <w:color w:val="0000FF"/>
                  <w:spacing w:val="-7"/>
                  <w:sz w:val="24"/>
                </w:rPr>
                <w:t> </w:t>
              </w:r>
              <w:r>
                <w:rPr>
                  <w:color w:val="0000FF"/>
                  <w:sz w:val="24"/>
                </w:rPr>
                <w:t>27</w:t>
              </w:r>
            </w:hyperlink>
            <w:r>
              <w:rPr>
                <w:sz w:val="24"/>
              </w:rPr>
              <w:t>:</w:t>
            </w:r>
            <w:r>
              <w:rPr>
                <w:spacing w:val="-3"/>
                <w:sz w:val="24"/>
              </w:rPr>
              <w:t> </w:t>
            </w:r>
            <w:r>
              <w:rPr>
                <w:sz w:val="24"/>
              </w:rPr>
              <w:t>Identifying</w:t>
            </w:r>
            <w:r>
              <w:rPr>
                <w:spacing w:val="-4"/>
                <w:sz w:val="24"/>
              </w:rPr>
              <w:t> </w:t>
            </w:r>
            <w:r>
              <w:rPr>
                <w:sz w:val="24"/>
              </w:rPr>
              <w:t>and</w:t>
            </w:r>
            <w:r>
              <w:rPr>
                <w:spacing w:val="-4"/>
                <w:sz w:val="24"/>
              </w:rPr>
              <w:t> </w:t>
            </w:r>
            <w:r>
              <w:rPr>
                <w:sz w:val="24"/>
              </w:rPr>
              <w:t>Reporting</w:t>
            </w:r>
            <w:r>
              <w:rPr>
                <w:spacing w:val="-3"/>
                <w:sz w:val="24"/>
              </w:rPr>
              <w:t> </w:t>
            </w:r>
            <w:r>
              <w:rPr>
                <w:sz w:val="24"/>
              </w:rPr>
              <w:t>Earmarked</w:t>
            </w:r>
            <w:r>
              <w:rPr>
                <w:spacing w:val="-17"/>
                <w:sz w:val="24"/>
              </w:rPr>
              <w:t> </w:t>
            </w:r>
            <w:r>
              <w:rPr>
                <w:spacing w:val="-2"/>
                <w:sz w:val="24"/>
              </w:rPr>
              <w:t>Funds;</w:t>
            </w:r>
          </w:p>
          <w:p>
            <w:pPr>
              <w:pStyle w:val="TableParagraph"/>
              <w:numPr>
                <w:ilvl w:val="0"/>
                <w:numId w:val="17"/>
              </w:numPr>
              <w:tabs>
                <w:tab w:pos="328" w:val="left" w:leader="none"/>
              </w:tabs>
              <w:spacing w:line="265" w:lineRule="exact" w:before="0" w:after="0"/>
              <w:ind w:left="327" w:right="0" w:hanging="217"/>
              <w:jc w:val="left"/>
              <w:rPr>
                <w:sz w:val="24"/>
              </w:rPr>
            </w:pPr>
            <w:hyperlink r:id="rId38">
              <w:r>
                <w:rPr>
                  <w:color w:val="0000FF"/>
                  <w:sz w:val="24"/>
                </w:rPr>
                <w:t>SFFAS</w:t>
              </w:r>
              <w:r>
                <w:rPr>
                  <w:color w:val="0000FF"/>
                  <w:spacing w:val="-4"/>
                  <w:sz w:val="24"/>
                </w:rPr>
                <w:t> </w:t>
              </w:r>
              <w:r>
                <w:rPr>
                  <w:color w:val="0000FF"/>
                  <w:sz w:val="24"/>
                </w:rPr>
                <w:t>31</w:t>
              </w:r>
            </w:hyperlink>
            <w:r>
              <w:rPr>
                <w:sz w:val="24"/>
              </w:rPr>
              <w:t>:</w:t>
            </w:r>
            <w:r>
              <w:rPr>
                <w:spacing w:val="-3"/>
                <w:sz w:val="24"/>
              </w:rPr>
              <w:t> </w:t>
            </w:r>
            <w:r>
              <w:rPr>
                <w:sz w:val="24"/>
              </w:rPr>
              <w:t>Accounting</w:t>
            </w:r>
            <w:r>
              <w:rPr>
                <w:spacing w:val="-3"/>
                <w:sz w:val="24"/>
              </w:rPr>
              <w:t> </w:t>
            </w:r>
            <w:r>
              <w:rPr>
                <w:sz w:val="24"/>
              </w:rPr>
              <w:t>for</w:t>
            </w:r>
            <w:r>
              <w:rPr>
                <w:spacing w:val="-4"/>
                <w:sz w:val="24"/>
              </w:rPr>
              <w:t> </w:t>
            </w:r>
            <w:r>
              <w:rPr>
                <w:sz w:val="24"/>
              </w:rPr>
              <w:t>Fiduciary</w:t>
            </w:r>
            <w:r>
              <w:rPr>
                <w:spacing w:val="-5"/>
                <w:sz w:val="24"/>
              </w:rPr>
              <w:t> </w:t>
            </w:r>
            <w:r>
              <w:rPr>
                <w:spacing w:val="-2"/>
                <w:sz w:val="24"/>
              </w:rPr>
              <w:t>Activities;</w:t>
            </w:r>
          </w:p>
          <w:p>
            <w:pPr>
              <w:pStyle w:val="TableParagraph"/>
              <w:numPr>
                <w:ilvl w:val="0"/>
                <w:numId w:val="17"/>
              </w:numPr>
              <w:tabs>
                <w:tab w:pos="328" w:val="left" w:leader="none"/>
              </w:tabs>
              <w:spacing w:line="213" w:lineRule="auto" w:before="3" w:after="0"/>
              <w:ind w:left="327" w:right="1300" w:hanging="216"/>
              <w:jc w:val="left"/>
              <w:rPr>
                <w:sz w:val="24"/>
              </w:rPr>
            </w:pPr>
            <w:hyperlink r:id="rId26">
              <w:r>
                <w:rPr>
                  <w:color w:val="0000FF"/>
                  <w:sz w:val="24"/>
                </w:rPr>
                <w:t>SFFAS</w:t>
              </w:r>
              <w:r>
                <w:rPr>
                  <w:color w:val="0000FF"/>
                  <w:spacing w:val="-6"/>
                  <w:sz w:val="24"/>
                </w:rPr>
                <w:t> </w:t>
              </w:r>
              <w:r>
                <w:rPr>
                  <w:color w:val="0000FF"/>
                  <w:sz w:val="24"/>
                </w:rPr>
                <w:t>38</w:t>
              </w:r>
            </w:hyperlink>
            <w:r>
              <w:rPr>
                <w:sz w:val="24"/>
              </w:rPr>
              <w:t>:</w:t>
            </w:r>
            <w:r>
              <w:rPr>
                <w:spacing w:val="-5"/>
                <w:sz w:val="24"/>
              </w:rPr>
              <w:t> </w:t>
            </w:r>
            <w:r>
              <w:rPr>
                <w:sz w:val="24"/>
              </w:rPr>
              <w:t>Accounting</w:t>
            </w:r>
            <w:r>
              <w:rPr>
                <w:spacing w:val="-6"/>
                <w:sz w:val="24"/>
              </w:rPr>
              <w:t> </w:t>
            </w:r>
            <w:r>
              <w:rPr>
                <w:sz w:val="24"/>
              </w:rPr>
              <w:t>for</w:t>
            </w:r>
            <w:r>
              <w:rPr>
                <w:spacing w:val="-6"/>
                <w:sz w:val="24"/>
              </w:rPr>
              <w:t> </w:t>
            </w:r>
            <w:r>
              <w:rPr>
                <w:sz w:val="24"/>
              </w:rPr>
              <w:t>Federal</w:t>
            </w:r>
            <w:r>
              <w:rPr>
                <w:spacing w:val="-6"/>
                <w:sz w:val="24"/>
              </w:rPr>
              <w:t> </w:t>
            </w:r>
            <w:r>
              <w:rPr>
                <w:sz w:val="24"/>
              </w:rPr>
              <w:t>Oil</w:t>
            </w:r>
            <w:r>
              <w:rPr>
                <w:spacing w:val="-6"/>
                <w:sz w:val="24"/>
              </w:rPr>
              <w:t> </w:t>
            </w:r>
            <w:r>
              <w:rPr>
                <w:sz w:val="24"/>
              </w:rPr>
              <w:t>and</w:t>
            </w:r>
            <w:r>
              <w:rPr>
                <w:spacing w:val="-6"/>
                <w:sz w:val="24"/>
              </w:rPr>
              <w:t> </w:t>
            </w:r>
            <w:r>
              <w:rPr>
                <w:sz w:val="24"/>
              </w:rPr>
              <w:t>Gas </w:t>
            </w:r>
            <w:r>
              <w:rPr>
                <w:spacing w:val="-2"/>
                <w:sz w:val="24"/>
              </w:rPr>
              <w:t>Resources;</w:t>
            </w:r>
          </w:p>
          <w:p>
            <w:pPr>
              <w:pStyle w:val="TableParagraph"/>
              <w:numPr>
                <w:ilvl w:val="0"/>
                <w:numId w:val="17"/>
              </w:numPr>
              <w:tabs>
                <w:tab w:pos="328" w:val="left" w:leader="none"/>
              </w:tabs>
              <w:spacing w:line="216" w:lineRule="auto" w:before="3" w:after="0"/>
              <w:ind w:left="327" w:right="272" w:hanging="216"/>
              <w:jc w:val="left"/>
              <w:rPr>
                <w:sz w:val="24"/>
              </w:rPr>
            </w:pPr>
            <w:hyperlink r:id="rId39">
              <w:r>
                <w:rPr>
                  <w:color w:val="0000FF"/>
                  <w:sz w:val="24"/>
                </w:rPr>
                <w:t>SFFAS</w:t>
              </w:r>
              <w:r>
                <w:rPr>
                  <w:color w:val="0000FF"/>
                  <w:spacing w:val="-7"/>
                  <w:sz w:val="24"/>
                </w:rPr>
                <w:t> </w:t>
              </w:r>
              <w:r>
                <w:rPr>
                  <w:color w:val="0000FF"/>
                  <w:sz w:val="24"/>
                </w:rPr>
                <w:t>43</w:t>
              </w:r>
            </w:hyperlink>
            <w:r>
              <w:rPr>
                <w:sz w:val="24"/>
              </w:rPr>
              <w:t>:</w:t>
            </w:r>
            <w:r>
              <w:rPr>
                <w:spacing w:val="-6"/>
                <w:sz w:val="24"/>
              </w:rPr>
              <w:t> </w:t>
            </w:r>
            <w:r>
              <w:rPr>
                <w:sz w:val="24"/>
              </w:rPr>
              <w:t>Dedicated</w:t>
            </w:r>
            <w:r>
              <w:rPr>
                <w:spacing w:val="-6"/>
                <w:sz w:val="24"/>
              </w:rPr>
              <w:t> </w:t>
            </w:r>
            <w:r>
              <w:rPr>
                <w:sz w:val="24"/>
              </w:rPr>
              <w:t>Collections:</w:t>
            </w:r>
            <w:r>
              <w:rPr>
                <w:spacing w:val="-6"/>
                <w:sz w:val="24"/>
              </w:rPr>
              <w:t> </w:t>
            </w:r>
            <w:r>
              <w:rPr>
                <w:sz w:val="24"/>
              </w:rPr>
              <w:t>Amending</w:t>
            </w:r>
            <w:r>
              <w:rPr>
                <w:spacing w:val="-6"/>
                <w:sz w:val="24"/>
              </w:rPr>
              <w:t> </w:t>
            </w:r>
            <w:r>
              <w:rPr>
                <w:sz w:val="24"/>
              </w:rPr>
              <w:t>SFFAS</w:t>
            </w:r>
            <w:r>
              <w:rPr>
                <w:spacing w:val="-7"/>
                <w:sz w:val="24"/>
              </w:rPr>
              <w:t> </w:t>
            </w:r>
            <w:r>
              <w:rPr>
                <w:sz w:val="24"/>
              </w:rPr>
              <w:t>27, Identifying and Reporting Earmarked Funds;</w:t>
            </w:r>
          </w:p>
          <w:p>
            <w:pPr>
              <w:pStyle w:val="TableParagraph"/>
              <w:numPr>
                <w:ilvl w:val="0"/>
                <w:numId w:val="17"/>
              </w:numPr>
              <w:tabs>
                <w:tab w:pos="328" w:val="left" w:leader="none"/>
              </w:tabs>
              <w:spacing w:line="253" w:lineRule="exact" w:before="0" w:after="0"/>
              <w:ind w:left="327" w:right="0" w:hanging="217"/>
              <w:jc w:val="left"/>
              <w:rPr>
                <w:sz w:val="24"/>
              </w:rPr>
            </w:pPr>
            <w:hyperlink r:id="rId29">
              <w:r>
                <w:rPr>
                  <w:color w:val="0000FF"/>
                  <w:sz w:val="24"/>
                </w:rPr>
                <w:t>SFFAS</w:t>
              </w:r>
              <w:r>
                <w:rPr>
                  <w:color w:val="0000FF"/>
                  <w:spacing w:val="-3"/>
                  <w:sz w:val="24"/>
                </w:rPr>
                <w:t> </w:t>
              </w:r>
              <w:r>
                <w:rPr>
                  <w:color w:val="0000FF"/>
                  <w:sz w:val="24"/>
                </w:rPr>
                <w:t>53</w:t>
              </w:r>
            </w:hyperlink>
            <w:r>
              <w:rPr>
                <w:sz w:val="24"/>
              </w:rPr>
              <w:t>:</w:t>
            </w:r>
            <w:r>
              <w:rPr>
                <w:spacing w:val="-3"/>
                <w:sz w:val="24"/>
              </w:rPr>
              <w:t> </w:t>
            </w:r>
            <w:r>
              <w:rPr>
                <w:sz w:val="24"/>
              </w:rPr>
              <w:t>Budget</w:t>
            </w:r>
            <w:r>
              <w:rPr>
                <w:spacing w:val="-3"/>
                <w:sz w:val="24"/>
              </w:rPr>
              <w:t> </w:t>
            </w:r>
            <w:r>
              <w:rPr>
                <w:sz w:val="24"/>
              </w:rPr>
              <w:t>and</w:t>
            </w:r>
            <w:r>
              <w:rPr>
                <w:spacing w:val="-3"/>
                <w:sz w:val="24"/>
              </w:rPr>
              <w:t> </w:t>
            </w:r>
            <w:r>
              <w:rPr>
                <w:sz w:val="24"/>
              </w:rPr>
              <w:t>Accrual</w:t>
            </w:r>
            <w:r>
              <w:rPr>
                <w:spacing w:val="-4"/>
                <w:sz w:val="24"/>
              </w:rPr>
              <w:t> </w:t>
            </w:r>
            <w:r>
              <w:rPr>
                <w:spacing w:val="-2"/>
                <w:sz w:val="24"/>
              </w:rPr>
              <w:t>Reconciliation.</w:t>
            </w:r>
          </w:p>
        </w:tc>
      </w:tr>
      <w:tr>
        <w:trPr>
          <w:trHeight w:val="2565"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1.1.5.3</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145"/>
              <w:rPr>
                <w:sz w:val="24"/>
              </w:rPr>
            </w:pPr>
            <w:r>
              <w:rPr>
                <w:sz w:val="24"/>
              </w:rPr>
              <w:t>Determine adjustments to budgetary and financial (proprietary)</w:t>
            </w:r>
            <w:r>
              <w:rPr>
                <w:spacing w:val="-17"/>
                <w:sz w:val="24"/>
              </w:rPr>
              <w:t> </w:t>
            </w:r>
            <w:r>
              <w:rPr>
                <w:sz w:val="24"/>
              </w:rPr>
              <w:t>accruals</w:t>
            </w:r>
            <w:r>
              <w:rPr>
                <w:spacing w:val="-17"/>
                <w:sz w:val="24"/>
              </w:rPr>
              <w:t> </w:t>
            </w:r>
            <w:r>
              <w:rPr>
                <w:sz w:val="24"/>
              </w:rPr>
              <w:t>consistent with the FASAB Handbook and OMB Circular No. A-11.</w:t>
            </w:r>
          </w:p>
        </w:tc>
        <w:tc>
          <w:tcPr>
            <w:tcW w:w="6628" w:type="dxa"/>
          </w:tcPr>
          <w:p>
            <w:pPr>
              <w:pStyle w:val="TableParagraph"/>
              <w:numPr>
                <w:ilvl w:val="0"/>
                <w:numId w:val="18"/>
              </w:numPr>
              <w:tabs>
                <w:tab w:pos="328" w:val="left" w:leader="none"/>
              </w:tabs>
              <w:spacing w:line="216" w:lineRule="auto" w:before="0" w:after="0"/>
              <w:ind w:left="327" w:right="378"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Sources and Concepts for Reconciling Budgetary and Financial</w:t>
            </w:r>
            <w:r>
              <w:rPr>
                <w:spacing w:val="-2"/>
                <w:sz w:val="24"/>
              </w:rPr>
              <w:t> </w:t>
            </w:r>
            <w:r>
              <w:rPr>
                <w:sz w:val="24"/>
              </w:rPr>
              <w:t>Accounting;</w:t>
            </w:r>
          </w:p>
          <w:p>
            <w:pPr>
              <w:pStyle w:val="TableParagraph"/>
              <w:numPr>
                <w:ilvl w:val="0"/>
                <w:numId w:val="18"/>
              </w:numPr>
              <w:tabs>
                <w:tab w:pos="328" w:val="left" w:leader="none"/>
              </w:tabs>
              <w:spacing w:line="256" w:lineRule="exact" w:before="0" w:after="0"/>
              <w:ind w:left="327" w:right="0" w:hanging="217"/>
              <w:jc w:val="left"/>
              <w:rPr>
                <w:sz w:val="24"/>
              </w:rPr>
            </w:pPr>
            <w:hyperlink r:id="rId37">
              <w:r>
                <w:rPr>
                  <w:color w:val="0000FF"/>
                  <w:sz w:val="24"/>
                </w:rPr>
                <w:t>SFFAS</w:t>
              </w:r>
            </w:hyperlink>
            <w:r>
              <w:rPr>
                <w:color w:val="0000FF"/>
                <w:spacing w:val="-4"/>
                <w:sz w:val="24"/>
              </w:rPr>
              <w:t> </w:t>
            </w:r>
            <w:r>
              <w:rPr>
                <w:color w:val="0000FF"/>
                <w:sz w:val="24"/>
              </w:rPr>
              <w:t>27</w:t>
            </w:r>
            <w:r>
              <w:rPr>
                <w:sz w:val="24"/>
              </w:rPr>
              <w:t>:</w:t>
            </w:r>
            <w:r>
              <w:rPr>
                <w:spacing w:val="-3"/>
                <w:sz w:val="24"/>
              </w:rPr>
              <w:t> </w:t>
            </w:r>
            <w:r>
              <w:rPr>
                <w:sz w:val="24"/>
              </w:rPr>
              <w:t>Identifying</w:t>
            </w:r>
            <w:r>
              <w:rPr>
                <w:spacing w:val="-4"/>
                <w:sz w:val="24"/>
              </w:rPr>
              <w:t> </w:t>
            </w:r>
            <w:r>
              <w:rPr>
                <w:sz w:val="24"/>
              </w:rPr>
              <w:t>and</w:t>
            </w:r>
            <w:r>
              <w:rPr>
                <w:spacing w:val="-4"/>
                <w:sz w:val="24"/>
              </w:rPr>
              <w:t> </w:t>
            </w:r>
            <w:r>
              <w:rPr>
                <w:sz w:val="24"/>
              </w:rPr>
              <w:t>Reporting</w:t>
            </w:r>
            <w:r>
              <w:rPr>
                <w:spacing w:val="-3"/>
                <w:sz w:val="24"/>
              </w:rPr>
              <w:t> </w:t>
            </w:r>
            <w:r>
              <w:rPr>
                <w:sz w:val="24"/>
              </w:rPr>
              <w:t>Earmarked</w:t>
            </w:r>
            <w:r>
              <w:rPr>
                <w:spacing w:val="-12"/>
                <w:sz w:val="24"/>
              </w:rPr>
              <w:t> </w:t>
            </w:r>
            <w:r>
              <w:rPr>
                <w:spacing w:val="-2"/>
                <w:sz w:val="24"/>
              </w:rPr>
              <w:t>Funds;</w:t>
            </w:r>
          </w:p>
          <w:p>
            <w:pPr>
              <w:pStyle w:val="TableParagraph"/>
              <w:numPr>
                <w:ilvl w:val="0"/>
                <w:numId w:val="18"/>
              </w:numPr>
              <w:tabs>
                <w:tab w:pos="328" w:val="left" w:leader="none"/>
              </w:tabs>
              <w:spacing w:line="216" w:lineRule="auto" w:before="0" w:after="0"/>
              <w:ind w:left="327" w:right="272" w:hanging="216"/>
              <w:jc w:val="left"/>
              <w:rPr>
                <w:sz w:val="24"/>
              </w:rPr>
            </w:pPr>
            <w:hyperlink r:id="rId39">
              <w:r>
                <w:rPr>
                  <w:color w:val="0000FF"/>
                  <w:sz w:val="24"/>
                </w:rPr>
                <w:t>SFFAS</w:t>
              </w:r>
              <w:r>
                <w:rPr>
                  <w:color w:val="0000FF"/>
                  <w:spacing w:val="-7"/>
                  <w:sz w:val="24"/>
                </w:rPr>
                <w:t> </w:t>
              </w:r>
              <w:r>
                <w:rPr>
                  <w:color w:val="0000FF"/>
                  <w:sz w:val="24"/>
                </w:rPr>
                <w:t>43</w:t>
              </w:r>
            </w:hyperlink>
            <w:r>
              <w:rPr>
                <w:sz w:val="24"/>
              </w:rPr>
              <w:t>:</w:t>
            </w:r>
            <w:r>
              <w:rPr>
                <w:spacing w:val="-6"/>
                <w:sz w:val="24"/>
              </w:rPr>
              <w:t> </w:t>
            </w:r>
            <w:r>
              <w:rPr>
                <w:sz w:val="24"/>
              </w:rPr>
              <w:t>Dedicated</w:t>
            </w:r>
            <w:r>
              <w:rPr>
                <w:spacing w:val="-6"/>
                <w:sz w:val="24"/>
              </w:rPr>
              <w:t> </w:t>
            </w:r>
            <w:r>
              <w:rPr>
                <w:sz w:val="24"/>
              </w:rPr>
              <w:t>Collections:</w:t>
            </w:r>
            <w:r>
              <w:rPr>
                <w:spacing w:val="-6"/>
                <w:sz w:val="24"/>
              </w:rPr>
              <w:t> </w:t>
            </w:r>
            <w:r>
              <w:rPr>
                <w:sz w:val="24"/>
              </w:rPr>
              <w:t>Amending</w:t>
            </w:r>
            <w:r>
              <w:rPr>
                <w:spacing w:val="-6"/>
                <w:sz w:val="24"/>
              </w:rPr>
              <w:t> </w:t>
            </w:r>
            <w:r>
              <w:rPr>
                <w:sz w:val="24"/>
              </w:rPr>
              <w:t>SFFAS</w:t>
            </w:r>
            <w:r>
              <w:rPr>
                <w:spacing w:val="-7"/>
                <w:sz w:val="24"/>
              </w:rPr>
              <w:t> </w:t>
            </w:r>
            <w:r>
              <w:rPr>
                <w:sz w:val="24"/>
              </w:rPr>
              <w:t>27, Identifying and Reporting Earmarked Funds;</w:t>
            </w:r>
          </w:p>
          <w:p>
            <w:pPr>
              <w:pStyle w:val="TableParagraph"/>
              <w:numPr>
                <w:ilvl w:val="0"/>
                <w:numId w:val="18"/>
              </w:numPr>
              <w:tabs>
                <w:tab w:pos="328" w:val="left" w:leader="none"/>
              </w:tabs>
              <w:spacing w:line="255" w:lineRule="exact" w:before="0" w:after="0"/>
              <w:ind w:left="327" w:right="0" w:hanging="217"/>
              <w:jc w:val="left"/>
              <w:rPr>
                <w:sz w:val="24"/>
              </w:rPr>
            </w:pPr>
            <w:hyperlink r:id="rId29">
              <w:r>
                <w:rPr>
                  <w:color w:val="0000FF"/>
                  <w:sz w:val="24"/>
                </w:rPr>
                <w:t>SFFAS</w:t>
              </w:r>
              <w:r>
                <w:rPr>
                  <w:color w:val="0000FF"/>
                  <w:spacing w:val="-6"/>
                  <w:sz w:val="24"/>
                </w:rPr>
                <w:t> </w:t>
              </w:r>
              <w:r>
                <w:rPr>
                  <w:color w:val="0000FF"/>
                  <w:sz w:val="24"/>
                </w:rPr>
                <w:t>53</w:t>
              </w:r>
            </w:hyperlink>
            <w:r>
              <w:rPr>
                <w:sz w:val="24"/>
              </w:rPr>
              <w:t>:</w:t>
            </w:r>
            <w:r>
              <w:rPr>
                <w:spacing w:val="-2"/>
                <w:sz w:val="24"/>
              </w:rPr>
              <w:t> </w:t>
            </w:r>
            <w:r>
              <w:rPr>
                <w:sz w:val="24"/>
              </w:rPr>
              <w:t>Budget</w:t>
            </w:r>
            <w:r>
              <w:rPr>
                <w:spacing w:val="-3"/>
                <w:sz w:val="24"/>
              </w:rPr>
              <w:t> </w:t>
            </w:r>
            <w:r>
              <w:rPr>
                <w:sz w:val="24"/>
              </w:rPr>
              <w:t>and</w:t>
            </w:r>
            <w:r>
              <w:rPr>
                <w:spacing w:val="-3"/>
                <w:sz w:val="24"/>
              </w:rPr>
              <w:t> </w:t>
            </w:r>
            <w:r>
              <w:rPr>
                <w:sz w:val="24"/>
              </w:rPr>
              <w:t>Accrual</w:t>
            </w:r>
            <w:r>
              <w:rPr>
                <w:spacing w:val="-21"/>
                <w:sz w:val="24"/>
              </w:rPr>
              <w:t> </w:t>
            </w:r>
            <w:r>
              <w:rPr>
                <w:spacing w:val="-2"/>
                <w:sz w:val="24"/>
              </w:rPr>
              <w:t>Reconciliation;</w:t>
            </w:r>
          </w:p>
          <w:p>
            <w:pPr>
              <w:pStyle w:val="TableParagraph"/>
              <w:numPr>
                <w:ilvl w:val="0"/>
                <w:numId w:val="18"/>
              </w:numPr>
              <w:tabs>
                <w:tab w:pos="328" w:val="left" w:leader="none"/>
              </w:tabs>
              <w:spacing w:line="265" w:lineRule="exact" w:before="0" w:after="0"/>
              <w:ind w:left="327" w:right="0" w:hanging="217"/>
              <w:jc w:val="left"/>
              <w:rPr>
                <w:sz w:val="24"/>
              </w:rPr>
            </w:pPr>
            <w:hyperlink r:id="rId41">
              <w:r>
                <w:rPr>
                  <w:color w:val="0000FF"/>
                  <w:sz w:val="24"/>
                </w:rPr>
                <w:t>OMB</w:t>
              </w:r>
            </w:hyperlink>
            <w:r>
              <w:rPr>
                <w:color w:val="0000FF"/>
                <w:spacing w:val="-6"/>
                <w:sz w:val="24"/>
              </w:rPr>
              <w:t> </w:t>
            </w:r>
            <w:r>
              <w:rPr>
                <w:sz w:val="24"/>
              </w:rPr>
              <w:t>Circular</w:t>
            </w:r>
            <w:r>
              <w:rPr>
                <w:spacing w:val="-4"/>
                <w:sz w:val="24"/>
              </w:rPr>
              <w:t> </w:t>
            </w:r>
            <w:r>
              <w:rPr>
                <w:sz w:val="24"/>
              </w:rPr>
              <w:t>No.</w:t>
            </w:r>
            <w:r>
              <w:rPr>
                <w:spacing w:val="-3"/>
                <w:sz w:val="24"/>
              </w:rPr>
              <w:t> </w:t>
            </w:r>
            <w:r>
              <w:rPr>
                <w:sz w:val="24"/>
              </w:rPr>
              <w:t>A-11,</w:t>
            </w:r>
            <w:r>
              <w:rPr>
                <w:spacing w:val="-4"/>
                <w:sz w:val="24"/>
              </w:rPr>
              <w:t> </w:t>
            </w:r>
            <w:r>
              <w:rPr>
                <w:sz w:val="24"/>
              </w:rPr>
              <w:t>Preparation,</w:t>
            </w:r>
            <w:r>
              <w:rPr>
                <w:spacing w:val="-4"/>
                <w:sz w:val="24"/>
              </w:rPr>
              <w:t> </w:t>
            </w:r>
            <w:r>
              <w:rPr>
                <w:sz w:val="24"/>
              </w:rPr>
              <w:t>Submission</w:t>
            </w:r>
            <w:r>
              <w:rPr>
                <w:spacing w:val="-3"/>
                <w:sz w:val="24"/>
              </w:rPr>
              <w:t> </w:t>
            </w:r>
            <w:r>
              <w:rPr>
                <w:spacing w:val="-5"/>
                <w:sz w:val="24"/>
              </w:rPr>
              <w:t>and</w:t>
            </w:r>
          </w:p>
          <w:p>
            <w:pPr>
              <w:pStyle w:val="TableParagraph"/>
              <w:spacing w:line="248" w:lineRule="exact"/>
              <w:rPr>
                <w:sz w:val="24"/>
              </w:rPr>
            </w:pPr>
            <w:r>
              <w:rPr>
                <w:sz w:val="24"/>
              </w:rPr>
              <w:t>Execution</w:t>
            </w:r>
            <w:r>
              <w:rPr>
                <w:spacing w:val="-5"/>
                <w:sz w:val="24"/>
              </w:rPr>
              <w:t> </w:t>
            </w:r>
            <w:r>
              <w:rPr>
                <w:sz w:val="24"/>
              </w:rPr>
              <w:t>of</w:t>
            </w:r>
            <w:r>
              <w:rPr>
                <w:spacing w:val="-5"/>
                <w:sz w:val="24"/>
              </w:rPr>
              <w:t> </w:t>
            </w:r>
            <w:r>
              <w:rPr>
                <w:sz w:val="24"/>
              </w:rPr>
              <w:t>the</w:t>
            </w:r>
            <w:r>
              <w:rPr>
                <w:spacing w:val="-5"/>
                <w:sz w:val="24"/>
              </w:rPr>
              <w:t> </w:t>
            </w:r>
            <w:r>
              <w:rPr>
                <w:sz w:val="24"/>
              </w:rPr>
              <w:t>Budget,</w:t>
            </w:r>
            <w:r>
              <w:rPr>
                <w:spacing w:val="-5"/>
                <w:sz w:val="24"/>
              </w:rPr>
              <w:t> </w:t>
            </w:r>
            <w:r>
              <w:rPr>
                <w:sz w:val="24"/>
              </w:rPr>
              <w:t>Part</w:t>
            </w:r>
            <w:r>
              <w:rPr>
                <w:spacing w:val="-6"/>
                <w:sz w:val="24"/>
              </w:rPr>
              <w:t> </w:t>
            </w:r>
            <w:r>
              <w:rPr>
                <w:sz w:val="24"/>
              </w:rPr>
              <w:t>4,</w:t>
            </w:r>
            <w:r>
              <w:rPr>
                <w:spacing w:val="-6"/>
                <w:sz w:val="24"/>
              </w:rPr>
              <w:t> </w:t>
            </w:r>
            <w:r>
              <w:rPr>
                <w:sz w:val="24"/>
              </w:rPr>
              <w:t>Instructions</w:t>
            </w:r>
            <w:r>
              <w:rPr>
                <w:spacing w:val="-5"/>
                <w:sz w:val="24"/>
              </w:rPr>
              <w:t> </w:t>
            </w:r>
            <w:r>
              <w:rPr>
                <w:sz w:val="24"/>
              </w:rPr>
              <w:t>on</w:t>
            </w:r>
            <w:r>
              <w:rPr>
                <w:spacing w:val="-5"/>
                <w:sz w:val="24"/>
              </w:rPr>
              <w:t> </w:t>
            </w:r>
            <w:r>
              <w:rPr>
                <w:sz w:val="24"/>
              </w:rPr>
              <w:t>Budget </w:t>
            </w:r>
            <w:r>
              <w:rPr>
                <w:spacing w:val="-2"/>
                <w:sz w:val="24"/>
              </w:rPr>
              <w:t>Execution.</w:t>
            </w:r>
          </w:p>
        </w:tc>
      </w:tr>
      <w:tr>
        <w:trPr>
          <w:trHeight w:val="2980"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1.1.5.4</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10"/>
              <w:rPr>
                <w:sz w:val="24"/>
              </w:rPr>
            </w:pPr>
            <w:r>
              <w:rPr>
                <w:sz w:val="24"/>
              </w:rPr>
              <w:t>Provide revenue and other financing</w:t>
            </w:r>
            <w:r>
              <w:rPr>
                <w:spacing w:val="-3"/>
                <w:sz w:val="24"/>
              </w:rPr>
              <w:t> </w:t>
            </w:r>
            <w:r>
              <w:rPr>
                <w:sz w:val="24"/>
              </w:rPr>
              <w:t>sources</w:t>
            </w:r>
            <w:r>
              <w:rPr>
                <w:spacing w:val="-3"/>
                <w:sz w:val="24"/>
              </w:rPr>
              <w:t> </w:t>
            </w:r>
            <w:r>
              <w:rPr>
                <w:sz w:val="24"/>
              </w:rPr>
              <w:t>data</w:t>
            </w:r>
            <w:r>
              <w:rPr>
                <w:spacing w:val="-3"/>
                <w:sz w:val="24"/>
              </w:rPr>
              <w:t> </w:t>
            </w:r>
            <w:r>
              <w:rPr>
                <w:sz w:val="24"/>
              </w:rPr>
              <w:t>to</w:t>
            </w:r>
            <w:r>
              <w:rPr>
                <w:spacing w:val="-3"/>
                <w:sz w:val="24"/>
              </w:rPr>
              <w:t> </w:t>
            </w:r>
            <w:r>
              <w:rPr>
                <w:sz w:val="24"/>
              </w:rPr>
              <w:t>post</w:t>
            </w:r>
            <w:r>
              <w:rPr>
                <w:spacing w:val="-4"/>
                <w:sz w:val="24"/>
              </w:rPr>
              <w:t> </w:t>
            </w:r>
            <w:r>
              <w:rPr>
                <w:sz w:val="24"/>
              </w:rPr>
              <w:t>GL transactions consistent with USSGL attributes (for example, exchange/non-exchange</w:t>
            </w:r>
            <w:r>
              <w:rPr>
                <w:spacing w:val="-17"/>
                <w:sz w:val="24"/>
              </w:rPr>
              <w:t> </w:t>
            </w:r>
            <w:r>
              <w:rPr>
                <w:sz w:val="24"/>
              </w:rPr>
              <w:t>indicator and program indicator), transaction codes, transaction categories (for example, collections and receivables), and transaction subcategories (for example, receivables/accrued</w:t>
            </w:r>
          </w:p>
          <w:p>
            <w:pPr>
              <w:pStyle w:val="TableParagraph"/>
              <w:spacing w:line="238" w:lineRule="exact"/>
              <w:ind w:left="110"/>
              <w:rPr>
                <w:sz w:val="24"/>
              </w:rPr>
            </w:pPr>
            <w:r>
              <w:rPr>
                <w:sz w:val="24"/>
              </w:rPr>
              <w:t>revenue)</w:t>
            </w:r>
            <w:r>
              <w:rPr>
                <w:spacing w:val="-5"/>
                <w:sz w:val="24"/>
              </w:rPr>
              <w:t> </w:t>
            </w:r>
            <w:r>
              <w:rPr>
                <w:sz w:val="24"/>
              </w:rPr>
              <w:t>as</w:t>
            </w:r>
            <w:r>
              <w:rPr>
                <w:spacing w:val="-3"/>
                <w:sz w:val="24"/>
              </w:rPr>
              <w:t> </w:t>
            </w:r>
            <w:r>
              <w:rPr>
                <w:sz w:val="24"/>
              </w:rPr>
              <w:t>defined</w:t>
            </w:r>
            <w:r>
              <w:rPr>
                <w:spacing w:val="-3"/>
                <w:sz w:val="24"/>
              </w:rPr>
              <w:t> </w:t>
            </w:r>
            <w:r>
              <w:rPr>
                <w:sz w:val="24"/>
              </w:rPr>
              <w:t>in</w:t>
            </w:r>
            <w:r>
              <w:rPr>
                <w:spacing w:val="-2"/>
                <w:sz w:val="24"/>
              </w:rPr>
              <w:t> </w:t>
            </w:r>
            <w:r>
              <w:rPr>
                <w:sz w:val="24"/>
              </w:rPr>
              <w:t>the</w:t>
            </w:r>
            <w:r>
              <w:rPr>
                <w:spacing w:val="-2"/>
                <w:sz w:val="24"/>
              </w:rPr>
              <w:t> </w:t>
            </w:r>
            <w:r>
              <w:rPr>
                <w:spacing w:val="-4"/>
                <w:sz w:val="24"/>
              </w:rPr>
              <w:t>TFM.</w:t>
            </w:r>
          </w:p>
        </w:tc>
        <w:tc>
          <w:tcPr>
            <w:tcW w:w="6628" w:type="dxa"/>
          </w:tcPr>
          <w:p>
            <w:pPr>
              <w:pStyle w:val="TableParagraph"/>
              <w:numPr>
                <w:ilvl w:val="0"/>
                <w:numId w:val="19"/>
              </w:numPr>
              <w:tabs>
                <w:tab w:pos="328" w:val="left" w:leader="none"/>
              </w:tabs>
              <w:spacing w:line="246"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2"/>
                <w:sz w:val="24"/>
              </w:rPr>
              <w:t> </w:t>
            </w:r>
            <w:r>
              <w:rPr>
                <w:sz w:val="24"/>
              </w:rPr>
              <w:t>III</w:t>
            </w:r>
            <w:r>
              <w:rPr>
                <w:spacing w:val="-4"/>
                <w:sz w:val="24"/>
              </w:rPr>
              <w:t> </w:t>
            </w:r>
            <w:r>
              <w:rPr>
                <w:sz w:val="24"/>
              </w:rPr>
              <w:t>Account </w:t>
            </w:r>
            <w:r>
              <w:rPr>
                <w:spacing w:val="-2"/>
                <w:sz w:val="24"/>
              </w:rPr>
              <w:t>Transactions;</w:t>
            </w:r>
          </w:p>
          <w:p>
            <w:pPr>
              <w:pStyle w:val="TableParagraph"/>
              <w:numPr>
                <w:ilvl w:val="0"/>
                <w:numId w:val="19"/>
              </w:numPr>
              <w:tabs>
                <w:tab w:pos="328" w:val="left" w:leader="none"/>
              </w:tabs>
              <w:spacing w:line="216" w:lineRule="auto" w:before="9" w:after="0"/>
              <w:ind w:left="327" w:right="459" w:hanging="216"/>
              <w:jc w:val="left"/>
              <w:rPr>
                <w:sz w:val="24"/>
              </w:rPr>
            </w:pPr>
            <w:hyperlink r:id="rId14">
              <w:r>
                <w:rPr>
                  <w:color w:val="0000FF"/>
                  <w:sz w:val="24"/>
                </w:rPr>
                <w:t>USSGL</w:t>
              </w:r>
            </w:hyperlink>
            <w:r>
              <w:rPr>
                <w:sz w:val="24"/>
              </w:rPr>
              <w:t>, Section IV: Account Attributes for USSGL Proprietary</w:t>
            </w:r>
            <w:r>
              <w:rPr>
                <w:spacing w:val="-11"/>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7"/>
                <w:sz w:val="24"/>
              </w:rPr>
              <w:t> </w:t>
            </w:r>
            <w:r>
              <w:rPr>
                <w:sz w:val="24"/>
              </w:rPr>
              <w:t>Reporting;</w:t>
            </w:r>
          </w:p>
          <w:p>
            <w:pPr>
              <w:pStyle w:val="TableParagraph"/>
              <w:numPr>
                <w:ilvl w:val="0"/>
                <w:numId w:val="19"/>
              </w:numPr>
              <w:tabs>
                <w:tab w:pos="328" w:val="left" w:leader="none"/>
              </w:tabs>
              <w:spacing w:line="213" w:lineRule="auto" w:before="3"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bl>
    <w:p>
      <w:pPr>
        <w:spacing w:after="0" w:line="213" w:lineRule="auto"/>
        <w:jc w:val="left"/>
        <w:rPr>
          <w:sz w:val="24"/>
        </w:rPr>
        <w:sectPr>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3855"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1.1.5.5</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45"/>
              <w:rPr>
                <w:sz w:val="24"/>
              </w:rPr>
            </w:pPr>
            <w:r>
              <w:rPr>
                <w:sz w:val="24"/>
              </w:rPr>
              <w:t>Provide revenue and other financing</w:t>
            </w:r>
            <w:r>
              <w:rPr>
                <w:spacing w:val="-14"/>
                <w:sz w:val="24"/>
              </w:rPr>
              <w:t> </w:t>
            </w:r>
            <w:r>
              <w:rPr>
                <w:sz w:val="24"/>
              </w:rPr>
              <w:t>sources</w:t>
            </w:r>
            <w:r>
              <w:rPr>
                <w:spacing w:val="-14"/>
                <w:sz w:val="24"/>
              </w:rPr>
              <w:t> </w:t>
            </w:r>
            <w:r>
              <w:rPr>
                <w:sz w:val="24"/>
              </w:rPr>
              <w:t>disclosure</w:t>
            </w:r>
            <w:r>
              <w:rPr>
                <w:spacing w:val="-14"/>
                <w:sz w:val="24"/>
              </w:rPr>
              <w:t> </w:t>
            </w:r>
            <w:r>
              <w:rPr>
                <w:sz w:val="24"/>
              </w:rPr>
              <w:t>and supplementary information for agency and government-wide reporting as specified in FASAB </w:t>
            </w:r>
            <w:r>
              <w:rPr>
                <w:spacing w:val="-2"/>
                <w:sz w:val="24"/>
              </w:rPr>
              <w:t>Handbook.</w:t>
            </w:r>
          </w:p>
        </w:tc>
        <w:tc>
          <w:tcPr>
            <w:tcW w:w="6628" w:type="dxa"/>
          </w:tcPr>
          <w:p>
            <w:pPr>
              <w:pStyle w:val="TableParagraph"/>
              <w:numPr>
                <w:ilvl w:val="0"/>
                <w:numId w:val="20"/>
              </w:numPr>
              <w:tabs>
                <w:tab w:pos="328" w:val="left" w:leader="none"/>
              </w:tabs>
              <w:spacing w:line="216" w:lineRule="auto" w:before="0" w:after="0"/>
              <w:ind w:left="327" w:right="1047" w:hanging="216"/>
              <w:jc w:val="left"/>
              <w:rPr>
                <w:sz w:val="24"/>
              </w:rPr>
            </w:pPr>
            <w:hyperlink r:id="rId33">
              <w:r>
                <w:rPr>
                  <w:color w:val="0000FF"/>
                  <w:sz w:val="24"/>
                </w:rPr>
                <w:t>SFFAS</w:t>
              </w:r>
              <w:r>
                <w:rPr>
                  <w:color w:val="0000FF"/>
                  <w:spacing w:val="-6"/>
                  <w:sz w:val="24"/>
                </w:rPr>
                <w:t> </w:t>
              </w:r>
              <w:r>
                <w:rPr>
                  <w:color w:val="0000FF"/>
                  <w:sz w:val="24"/>
                </w:rPr>
                <w:t>5</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Liabilities</w:t>
            </w:r>
            <w:r>
              <w:rPr>
                <w:spacing w:val="-6"/>
                <w:sz w:val="24"/>
              </w:rPr>
              <w:t> </w:t>
            </w:r>
            <w:r>
              <w:rPr>
                <w:sz w:val="24"/>
              </w:rPr>
              <w:t>of</w:t>
            </w:r>
            <w:r>
              <w:rPr>
                <w:spacing w:val="-6"/>
                <w:sz w:val="24"/>
              </w:rPr>
              <w:t> </w:t>
            </w:r>
            <w:r>
              <w:rPr>
                <w:sz w:val="24"/>
              </w:rPr>
              <w:t>the</w:t>
            </w:r>
            <w:r>
              <w:rPr>
                <w:spacing w:val="-6"/>
                <w:sz w:val="24"/>
              </w:rPr>
              <w:t> </w:t>
            </w:r>
            <w:r>
              <w:rPr>
                <w:sz w:val="24"/>
              </w:rPr>
              <w:t>Federal </w:t>
            </w:r>
            <w:r>
              <w:rPr>
                <w:spacing w:val="-2"/>
                <w:sz w:val="24"/>
              </w:rPr>
              <w:t>Government;</w:t>
            </w:r>
          </w:p>
          <w:p>
            <w:pPr>
              <w:pStyle w:val="TableParagraph"/>
              <w:numPr>
                <w:ilvl w:val="0"/>
                <w:numId w:val="20"/>
              </w:numPr>
              <w:tabs>
                <w:tab w:pos="328" w:val="left" w:leader="none"/>
              </w:tabs>
              <w:spacing w:line="216" w:lineRule="auto" w:before="0" w:after="0"/>
              <w:ind w:left="327" w:right="378"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Sources and Concepts for Reconciling Budgetary and Financial</w:t>
            </w:r>
            <w:r>
              <w:rPr>
                <w:spacing w:val="-26"/>
                <w:sz w:val="24"/>
              </w:rPr>
              <w:t> </w:t>
            </w:r>
            <w:r>
              <w:rPr>
                <w:sz w:val="24"/>
              </w:rPr>
              <w:t>Accounting;</w:t>
            </w:r>
          </w:p>
          <w:p>
            <w:pPr>
              <w:pStyle w:val="TableParagraph"/>
              <w:numPr>
                <w:ilvl w:val="0"/>
                <w:numId w:val="20"/>
              </w:numPr>
              <w:tabs>
                <w:tab w:pos="328" w:val="left" w:leader="none"/>
              </w:tabs>
              <w:spacing w:line="216" w:lineRule="auto" w:before="0" w:after="0"/>
              <w:ind w:left="327" w:right="372" w:hanging="216"/>
              <w:jc w:val="both"/>
              <w:rPr>
                <w:sz w:val="24"/>
              </w:rPr>
            </w:pPr>
            <w:hyperlink r:id="rId34">
              <w:r>
                <w:rPr>
                  <w:color w:val="0000FF"/>
                  <w:sz w:val="24"/>
                </w:rPr>
                <w:t>SFFAS 12</w:t>
              </w:r>
            </w:hyperlink>
            <w:r>
              <w:rPr>
                <w:sz w:val="24"/>
              </w:rPr>
              <w:t>: Recognition of Contingent Liabilities Arising from</w:t>
            </w:r>
            <w:r>
              <w:rPr>
                <w:spacing w:val="-6"/>
                <w:sz w:val="24"/>
              </w:rPr>
              <w:t> </w:t>
            </w:r>
            <w:r>
              <w:rPr>
                <w:sz w:val="24"/>
              </w:rPr>
              <w:t>Litigation:</w:t>
            </w:r>
            <w:r>
              <w:rPr>
                <w:spacing w:val="-6"/>
                <w:sz w:val="24"/>
              </w:rPr>
              <w:t> </w:t>
            </w:r>
            <w:r>
              <w:rPr>
                <w:sz w:val="24"/>
              </w:rPr>
              <w:t>An</w:t>
            </w:r>
            <w:r>
              <w:rPr>
                <w:spacing w:val="-6"/>
                <w:sz w:val="24"/>
              </w:rPr>
              <w:t> </w:t>
            </w:r>
            <w:r>
              <w:rPr>
                <w:sz w:val="24"/>
              </w:rPr>
              <w:t>Amendment</w:t>
            </w:r>
            <w:r>
              <w:rPr>
                <w:spacing w:val="-6"/>
                <w:sz w:val="24"/>
              </w:rPr>
              <w:t> </w:t>
            </w:r>
            <w:r>
              <w:rPr>
                <w:sz w:val="24"/>
              </w:rPr>
              <w:t>of</w:t>
            </w:r>
            <w:r>
              <w:rPr>
                <w:spacing w:val="-5"/>
                <w:sz w:val="24"/>
              </w:rPr>
              <w:t> </w:t>
            </w:r>
            <w:r>
              <w:rPr>
                <w:sz w:val="24"/>
              </w:rPr>
              <w:t>SFFAS</w:t>
            </w:r>
            <w:r>
              <w:rPr>
                <w:spacing w:val="-10"/>
                <w:sz w:val="24"/>
              </w:rPr>
              <w:t> </w:t>
            </w:r>
            <w:r>
              <w:rPr>
                <w:sz w:val="24"/>
              </w:rPr>
              <w:t>5,</w:t>
            </w:r>
            <w:r>
              <w:rPr>
                <w:spacing w:val="-7"/>
                <w:sz w:val="24"/>
              </w:rPr>
              <w:t> </w:t>
            </w:r>
            <w:r>
              <w:rPr>
                <w:sz w:val="24"/>
              </w:rPr>
              <w:t>Accounting for Liabilities of the Federal</w:t>
            </w:r>
            <w:r>
              <w:rPr>
                <w:spacing w:val="-17"/>
                <w:sz w:val="24"/>
              </w:rPr>
              <w:t> </w:t>
            </w:r>
            <w:r>
              <w:rPr>
                <w:sz w:val="24"/>
              </w:rPr>
              <w:t>Government;</w:t>
            </w:r>
          </w:p>
          <w:p>
            <w:pPr>
              <w:pStyle w:val="TableParagraph"/>
              <w:numPr>
                <w:ilvl w:val="0"/>
                <w:numId w:val="20"/>
              </w:numPr>
              <w:tabs>
                <w:tab w:pos="328" w:val="left" w:leader="none"/>
              </w:tabs>
              <w:spacing w:line="256" w:lineRule="exact" w:before="0" w:after="0"/>
              <w:ind w:left="327" w:right="0" w:hanging="217"/>
              <w:jc w:val="both"/>
              <w:rPr>
                <w:sz w:val="24"/>
              </w:rPr>
            </w:pPr>
            <w:hyperlink r:id="rId37">
              <w:r>
                <w:rPr>
                  <w:color w:val="0000FF"/>
                  <w:sz w:val="24"/>
                </w:rPr>
                <w:t>SFFAS</w:t>
              </w:r>
              <w:r>
                <w:rPr>
                  <w:color w:val="0000FF"/>
                  <w:spacing w:val="-7"/>
                  <w:sz w:val="24"/>
                </w:rPr>
                <w:t> </w:t>
              </w:r>
              <w:r>
                <w:rPr>
                  <w:color w:val="0000FF"/>
                  <w:sz w:val="24"/>
                </w:rPr>
                <w:t>27</w:t>
              </w:r>
            </w:hyperlink>
            <w:r>
              <w:rPr>
                <w:sz w:val="24"/>
              </w:rPr>
              <w:t>:</w:t>
            </w:r>
            <w:r>
              <w:rPr>
                <w:spacing w:val="-3"/>
                <w:sz w:val="24"/>
              </w:rPr>
              <w:t> </w:t>
            </w:r>
            <w:r>
              <w:rPr>
                <w:sz w:val="24"/>
              </w:rPr>
              <w:t>Identifying</w:t>
            </w:r>
            <w:r>
              <w:rPr>
                <w:spacing w:val="-4"/>
                <w:sz w:val="24"/>
              </w:rPr>
              <w:t> </w:t>
            </w:r>
            <w:r>
              <w:rPr>
                <w:sz w:val="24"/>
              </w:rPr>
              <w:t>and</w:t>
            </w:r>
            <w:r>
              <w:rPr>
                <w:spacing w:val="-4"/>
                <w:sz w:val="24"/>
              </w:rPr>
              <w:t> </w:t>
            </w:r>
            <w:r>
              <w:rPr>
                <w:sz w:val="24"/>
              </w:rPr>
              <w:t>Reporting</w:t>
            </w:r>
            <w:r>
              <w:rPr>
                <w:spacing w:val="-3"/>
                <w:sz w:val="24"/>
              </w:rPr>
              <w:t> </w:t>
            </w:r>
            <w:r>
              <w:rPr>
                <w:sz w:val="24"/>
              </w:rPr>
              <w:t>Earmarked</w:t>
            </w:r>
            <w:r>
              <w:rPr>
                <w:spacing w:val="-17"/>
                <w:sz w:val="24"/>
              </w:rPr>
              <w:t> </w:t>
            </w:r>
            <w:r>
              <w:rPr>
                <w:spacing w:val="-2"/>
                <w:sz w:val="24"/>
              </w:rPr>
              <w:t>Funds;</w:t>
            </w:r>
          </w:p>
          <w:p>
            <w:pPr>
              <w:pStyle w:val="TableParagraph"/>
              <w:numPr>
                <w:ilvl w:val="0"/>
                <w:numId w:val="20"/>
              </w:numPr>
              <w:tabs>
                <w:tab w:pos="328" w:val="left" w:leader="none"/>
              </w:tabs>
              <w:spacing w:line="265" w:lineRule="exact" w:before="0" w:after="0"/>
              <w:ind w:left="327" w:right="0" w:hanging="217"/>
              <w:jc w:val="both"/>
              <w:rPr>
                <w:sz w:val="24"/>
              </w:rPr>
            </w:pPr>
            <w:hyperlink r:id="rId38">
              <w:r>
                <w:rPr>
                  <w:color w:val="0000FF"/>
                  <w:sz w:val="24"/>
                </w:rPr>
                <w:t>SFFAS</w:t>
              </w:r>
              <w:r>
                <w:rPr>
                  <w:color w:val="0000FF"/>
                  <w:spacing w:val="-4"/>
                  <w:sz w:val="24"/>
                </w:rPr>
                <w:t> </w:t>
              </w:r>
              <w:r>
                <w:rPr>
                  <w:color w:val="0000FF"/>
                  <w:sz w:val="24"/>
                </w:rPr>
                <w:t>31</w:t>
              </w:r>
            </w:hyperlink>
            <w:r>
              <w:rPr>
                <w:sz w:val="24"/>
              </w:rPr>
              <w:t>:</w:t>
            </w:r>
            <w:r>
              <w:rPr>
                <w:spacing w:val="-3"/>
                <w:sz w:val="24"/>
              </w:rPr>
              <w:t> </w:t>
            </w:r>
            <w:r>
              <w:rPr>
                <w:sz w:val="24"/>
              </w:rPr>
              <w:t>Accounting</w:t>
            </w:r>
            <w:r>
              <w:rPr>
                <w:spacing w:val="-3"/>
                <w:sz w:val="24"/>
              </w:rPr>
              <w:t> </w:t>
            </w:r>
            <w:r>
              <w:rPr>
                <w:sz w:val="24"/>
              </w:rPr>
              <w:t>for</w:t>
            </w:r>
            <w:r>
              <w:rPr>
                <w:spacing w:val="-4"/>
                <w:sz w:val="24"/>
              </w:rPr>
              <w:t> </w:t>
            </w:r>
            <w:r>
              <w:rPr>
                <w:sz w:val="24"/>
              </w:rPr>
              <w:t>Fiduciary</w:t>
            </w:r>
            <w:r>
              <w:rPr>
                <w:spacing w:val="-5"/>
                <w:sz w:val="24"/>
              </w:rPr>
              <w:t> </w:t>
            </w:r>
            <w:r>
              <w:rPr>
                <w:spacing w:val="-2"/>
                <w:sz w:val="24"/>
              </w:rPr>
              <w:t>Activities;</w:t>
            </w:r>
          </w:p>
          <w:p>
            <w:pPr>
              <w:pStyle w:val="TableParagraph"/>
              <w:numPr>
                <w:ilvl w:val="0"/>
                <w:numId w:val="20"/>
              </w:numPr>
              <w:tabs>
                <w:tab w:pos="328" w:val="left" w:leader="none"/>
              </w:tabs>
              <w:spacing w:line="213" w:lineRule="auto" w:before="3" w:after="0"/>
              <w:ind w:left="327" w:right="1300" w:hanging="216"/>
              <w:jc w:val="left"/>
              <w:rPr>
                <w:sz w:val="24"/>
              </w:rPr>
            </w:pPr>
            <w:hyperlink r:id="rId26">
              <w:r>
                <w:rPr>
                  <w:color w:val="0000FF"/>
                  <w:sz w:val="24"/>
                </w:rPr>
                <w:t>SFFAS</w:t>
              </w:r>
              <w:r>
                <w:rPr>
                  <w:color w:val="0000FF"/>
                  <w:spacing w:val="-6"/>
                  <w:sz w:val="24"/>
                </w:rPr>
                <w:t> </w:t>
              </w:r>
              <w:r>
                <w:rPr>
                  <w:color w:val="0000FF"/>
                  <w:sz w:val="24"/>
                </w:rPr>
                <w:t>38</w:t>
              </w:r>
            </w:hyperlink>
            <w:r>
              <w:rPr>
                <w:sz w:val="24"/>
              </w:rPr>
              <w:t>:</w:t>
            </w:r>
            <w:r>
              <w:rPr>
                <w:spacing w:val="-5"/>
                <w:sz w:val="24"/>
              </w:rPr>
              <w:t> </w:t>
            </w:r>
            <w:r>
              <w:rPr>
                <w:sz w:val="24"/>
              </w:rPr>
              <w:t>Accounting</w:t>
            </w:r>
            <w:r>
              <w:rPr>
                <w:spacing w:val="-6"/>
                <w:sz w:val="24"/>
              </w:rPr>
              <w:t> </w:t>
            </w:r>
            <w:r>
              <w:rPr>
                <w:sz w:val="24"/>
              </w:rPr>
              <w:t>for</w:t>
            </w:r>
            <w:r>
              <w:rPr>
                <w:spacing w:val="-6"/>
                <w:sz w:val="24"/>
              </w:rPr>
              <w:t> </w:t>
            </w:r>
            <w:r>
              <w:rPr>
                <w:sz w:val="24"/>
              </w:rPr>
              <w:t>Federal</w:t>
            </w:r>
            <w:r>
              <w:rPr>
                <w:spacing w:val="-6"/>
                <w:sz w:val="24"/>
              </w:rPr>
              <w:t> </w:t>
            </w:r>
            <w:r>
              <w:rPr>
                <w:sz w:val="24"/>
              </w:rPr>
              <w:t>Oil</w:t>
            </w:r>
            <w:r>
              <w:rPr>
                <w:spacing w:val="-6"/>
                <w:sz w:val="24"/>
              </w:rPr>
              <w:t> </w:t>
            </w:r>
            <w:r>
              <w:rPr>
                <w:sz w:val="24"/>
              </w:rPr>
              <w:t>and</w:t>
            </w:r>
            <w:r>
              <w:rPr>
                <w:spacing w:val="-6"/>
                <w:sz w:val="24"/>
              </w:rPr>
              <w:t> </w:t>
            </w:r>
            <w:r>
              <w:rPr>
                <w:sz w:val="24"/>
              </w:rPr>
              <w:t>Gas </w:t>
            </w:r>
            <w:r>
              <w:rPr>
                <w:spacing w:val="-2"/>
                <w:sz w:val="24"/>
              </w:rPr>
              <w:t>Resources;</w:t>
            </w:r>
          </w:p>
          <w:p>
            <w:pPr>
              <w:pStyle w:val="TableParagraph"/>
              <w:numPr>
                <w:ilvl w:val="0"/>
                <w:numId w:val="20"/>
              </w:numPr>
              <w:tabs>
                <w:tab w:pos="328" w:val="left" w:leader="none"/>
              </w:tabs>
              <w:spacing w:line="216" w:lineRule="auto" w:before="3" w:after="0"/>
              <w:ind w:left="327" w:right="272" w:hanging="216"/>
              <w:jc w:val="left"/>
              <w:rPr>
                <w:sz w:val="24"/>
              </w:rPr>
            </w:pPr>
            <w:hyperlink r:id="rId39">
              <w:r>
                <w:rPr>
                  <w:color w:val="0000FF"/>
                  <w:sz w:val="24"/>
                </w:rPr>
                <w:t>SFFAS</w:t>
              </w:r>
              <w:r>
                <w:rPr>
                  <w:color w:val="0000FF"/>
                  <w:spacing w:val="-7"/>
                  <w:sz w:val="24"/>
                </w:rPr>
                <w:t> </w:t>
              </w:r>
              <w:r>
                <w:rPr>
                  <w:color w:val="0000FF"/>
                  <w:sz w:val="24"/>
                </w:rPr>
                <w:t>43</w:t>
              </w:r>
            </w:hyperlink>
            <w:r>
              <w:rPr>
                <w:sz w:val="24"/>
              </w:rPr>
              <w:t>:</w:t>
            </w:r>
            <w:r>
              <w:rPr>
                <w:spacing w:val="-6"/>
                <w:sz w:val="24"/>
              </w:rPr>
              <w:t> </w:t>
            </w:r>
            <w:r>
              <w:rPr>
                <w:sz w:val="24"/>
              </w:rPr>
              <w:t>Dedicated</w:t>
            </w:r>
            <w:r>
              <w:rPr>
                <w:spacing w:val="-6"/>
                <w:sz w:val="24"/>
              </w:rPr>
              <w:t> </w:t>
            </w:r>
            <w:r>
              <w:rPr>
                <w:sz w:val="24"/>
              </w:rPr>
              <w:t>Collections:</w:t>
            </w:r>
            <w:r>
              <w:rPr>
                <w:spacing w:val="-6"/>
                <w:sz w:val="24"/>
              </w:rPr>
              <w:t> </w:t>
            </w:r>
            <w:r>
              <w:rPr>
                <w:sz w:val="24"/>
              </w:rPr>
              <w:t>Amending</w:t>
            </w:r>
            <w:r>
              <w:rPr>
                <w:spacing w:val="-6"/>
                <w:sz w:val="24"/>
              </w:rPr>
              <w:t> </w:t>
            </w:r>
            <w:r>
              <w:rPr>
                <w:sz w:val="24"/>
              </w:rPr>
              <w:t>SFFAS</w:t>
            </w:r>
            <w:r>
              <w:rPr>
                <w:spacing w:val="-7"/>
                <w:sz w:val="24"/>
              </w:rPr>
              <w:t> </w:t>
            </w:r>
            <w:r>
              <w:rPr>
                <w:sz w:val="24"/>
              </w:rPr>
              <w:t>27, Identifying and Reporting Earmarked Funds;</w:t>
            </w:r>
          </w:p>
          <w:p>
            <w:pPr>
              <w:pStyle w:val="TableParagraph"/>
              <w:numPr>
                <w:ilvl w:val="0"/>
                <w:numId w:val="20"/>
              </w:numPr>
              <w:tabs>
                <w:tab w:pos="328" w:val="left" w:leader="none"/>
              </w:tabs>
              <w:spacing w:line="253" w:lineRule="exact" w:before="0" w:after="0"/>
              <w:ind w:left="327" w:right="0" w:hanging="217"/>
              <w:jc w:val="left"/>
              <w:rPr>
                <w:sz w:val="24"/>
              </w:rPr>
            </w:pPr>
            <w:hyperlink r:id="rId29">
              <w:r>
                <w:rPr>
                  <w:color w:val="0000FF"/>
                  <w:sz w:val="24"/>
                </w:rPr>
                <w:t>SFFAS</w:t>
              </w:r>
              <w:r>
                <w:rPr>
                  <w:color w:val="0000FF"/>
                  <w:spacing w:val="-3"/>
                  <w:sz w:val="24"/>
                </w:rPr>
                <w:t> </w:t>
              </w:r>
              <w:r>
                <w:rPr>
                  <w:color w:val="0000FF"/>
                  <w:sz w:val="24"/>
                </w:rPr>
                <w:t>53</w:t>
              </w:r>
            </w:hyperlink>
            <w:r>
              <w:rPr>
                <w:sz w:val="24"/>
              </w:rPr>
              <w:t>:</w:t>
            </w:r>
            <w:r>
              <w:rPr>
                <w:spacing w:val="-3"/>
                <w:sz w:val="24"/>
              </w:rPr>
              <w:t> </w:t>
            </w:r>
            <w:r>
              <w:rPr>
                <w:sz w:val="24"/>
              </w:rPr>
              <w:t>Budget</w:t>
            </w:r>
            <w:r>
              <w:rPr>
                <w:spacing w:val="-3"/>
                <w:sz w:val="24"/>
              </w:rPr>
              <w:t> </w:t>
            </w:r>
            <w:r>
              <w:rPr>
                <w:sz w:val="24"/>
              </w:rPr>
              <w:t>and</w:t>
            </w:r>
            <w:r>
              <w:rPr>
                <w:spacing w:val="-3"/>
                <w:sz w:val="24"/>
              </w:rPr>
              <w:t> </w:t>
            </w:r>
            <w:r>
              <w:rPr>
                <w:sz w:val="24"/>
              </w:rPr>
              <w:t>Accrual</w:t>
            </w:r>
            <w:r>
              <w:rPr>
                <w:spacing w:val="-4"/>
                <w:sz w:val="24"/>
              </w:rPr>
              <w:t> </w:t>
            </w:r>
            <w:r>
              <w:rPr>
                <w:spacing w:val="-2"/>
                <w:sz w:val="24"/>
              </w:rPr>
              <w:t>Reconciliation.</w:t>
            </w:r>
          </w:p>
        </w:tc>
      </w:tr>
      <w:tr>
        <w:trPr>
          <w:trHeight w:val="2732" w:hRule="atLeast"/>
        </w:trPr>
        <w:tc>
          <w:tcPr>
            <w:tcW w:w="1525" w:type="dxa"/>
            <w:vMerge w:val="restart"/>
          </w:tcPr>
          <w:p>
            <w:pPr>
              <w:pStyle w:val="TableParagraph"/>
              <w:spacing w:line="244" w:lineRule="exact"/>
              <w:ind w:left="107"/>
              <w:rPr>
                <w:sz w:val="24"/>
              </w:rPr>
            </w:pPr>
            <w:r>
              <w:rPr>
                <w:spacing w:val="-4"/>
                <w:sz w:val="24"/>
              </w:rPr>
              <w:t>1.2.1</w:t>
            </w:r>
          </w:p>
        </w:tc>
        <w:tc>
          <w:tcPr>
            <w:tcW w:w="1761" w:type="dxa"/>
            <w:vMerge w:val="restart"/>
          </w:tcPr>
          <w:p>
            <w:pPr>
              <w:pStyle w:val="TableParagraph"/>
              <w:spacing w:line="216" w:lineRule="auto"/>
              <w:ind w:left="108" w:right="185"/>
              <w:rPr>
                <w:sz w:val="24"/>
              </w:rPr>
            </w:pPr>
            <w:r>
              <w:rPr>
                <w:spacing w:val="-2"/>
                <w:sz w:val="24"/>
              </w:rPr>
              <w:t>Determining Costs</w:t>
            </w:r>
          </w:p>
        </w:tc>
        <w:tc>
          <w:tcPr>
            <w:tcW w:w="1984" w:type="dxa"/>
          </w:tcPr>
          <w:p>
            <w:pPr>
              <w:pStyle w:val="TableParagraph"/>
              <w:spacing w:line="244" w:lineRule="exact"/>
              <w:ind w:left="107"/>
              <w:rPr>
                <w:sz w:val="24"/>
              </w:rPr>
            </w:pPr>
            <w:r>
              <w:rPr>
                <w:spacing w:val="-2"/>
                <w:sz w:val="24"/>
              </w:rPr>
              <w:t>1.2.1.1</w:t>
            </w:r>
          </w:p>
        </w:tc>
        <w:tc>
          <w:tcPr>
            <w:tcW w:w="1534" w:type="dxa"/>
          </w:tcPr>
          <w:p>
            <w:pPr>
              <w:pStyle w:val="TableParagraph"/>
              <w:spacing w:line="244" w:lineRule="exact"/>
              <w:ind w:left="109"/>
              <w:rPr>
                <w:sz w:val="24"/>
              </w:rPr>
            </w:pPr>
            <w:r>
              <w:rPr>
                <w:spacing w:val="-5"/>
                <w:sz w:val="24"/>
              </w:rPr>
              <w:t>DI</w:t>
            </w:r>
          </w:p>
        </w:tc>
        <w:tc>
          <w:tcPr>
            <w:tcW w:w="3834" w:type="dxa"/>
          </w:tcPr>
          <w:p>
            <w:pPr>
              <w:pStyle w:val="TableParagraph"/>
              <w:spacing w:line="216" w:lineRule="auto"/>
              <w:ind w:left="110" w:right="134"/>
              <w:rPr>
                <w:sz w:val="24"/>
              </w:rPr>
            </w:pPr>
            <w:r>
              <w:rPr>
                <w:sz w:val="24"/>
              </w:rPr>
              <w:t>Provide responsibility segments/cost centers (for example, managing public buildings and distributing supplies) and cost objects that align</w:t>
            </w:r>
            <w:r>
              <w:rPr>
                <w:spacing w:val="-10"/>
                <w:sz w:val="24"/>
              </w:rPr>
              <w:t> </w:t>
            </w:r>
            <w:r>
              <w:rPr>
                <w:sz w:val="24"/>
              </w:rPr>
              <w:t>with</w:t>
            </w:r>
            <w:r>
              <w:rPr>
                <w:spacing w:val="-10"/>
                <w:sz w:val="24"/>
              </w:rPr>
              <w:t> </w:t>
            </w:r>
            <w:r>
              <w:rPr>
                <w:sz w:val="24"/>
              </w:rPr>
              <w:t>outcomes</w:t>
            </w:r>
            <w:r>
              <w:rPr>
                <w:spacing w:val="-10"/>
                <w:sz w:val="24"/>
              </w:rPr>
              <w:t> </w:t>
            </w:r>
            <w:r>
              <w:rPr>
                <w:sz w:val="24"/>
              </w:rPr>
              <w:t>(for</w:t>
            </w:r>
            <w:r>
              <w:rPr>
                <w:spacing w:val="-10"/>
                <w:sz w:val="24"/>
              </w:rPr>
              <w:t> </w:t>
            </w:r>
            <w:r>
              <w:rPr>
                <w:sz w:val="24"/>
              </w:rPr>
              <w:t>example, program, activity, and product) that directly support the agency mission and management</w:t>
            </w:r>
          </w:p>
          <w:p>
            <w:pPr>
              <w:pStyle w:val="TableParagraph"/>
              <w:spacing w:line="248" w:lineRule="exact"/>
              <w:ind w:left="110" w:right="145"/>
              <w:rPr>
                <w:sz w:val="24"/>
              </w:rPr>
            </w:pPr>
            <w:r>
              <w:rPr>
                <w:sz w:val="24"/>
              </w:rPr>
              <w:t>requirements</w:t>
            </w:r>
            <w:r>
              <w:rPr>
                <w:spacing w:val="-13"/>
                <w:sz w:val="24"/>
              </w:rPr>
              <w:t> </w:t>
            </w:r>
            <w:r>
              <w:rPr>
                <w:sz w:val="24"/>
              </w:rPr>
              <w:t>consistent</w:t>
            </w:r>
            <w:r>
              <w:rPr>
                <w:spacing w:val="-13"/>
                <w:sz w:val="24"/>
              </w:rPr>
              <w:t> </w:t>
            </w:r>
            <w:r>
              <w:rPr>
                <w:sz w:val="24"/>
              </w:rPr>
              <w:t>with</w:t>
            </w:r>
            <w:r>
              <w:rPr>
                <w:spacing w:val="-13"/>
                <w:sz w:val="24"/>
              </w:rPr>
              <w:t> </w:t>
            </w:r>
            <w:r>
              <w:rPr>
                <w:sz w:val="24"/>
              </w:rPr>
              <w:t>the FASAB Handbook.</w:t>
            </w:r>
          </w:p>
        </w:tc>
        <w:tc>
          <w:tcPr>
            <w:tcW w:w="6628" w:type="dxa"/>
          </w:tcPr>
          <w:p>
            <w:pPr>
              <w:pStyle w:val="TableParagraph"/>
              <w:numPr>
                <w:ilvl w:val="0"/>
                <w:numId w:val="21"/>
              </w:numPr>
              <w:tabs>
                <w:tab w:pos="328" w:val="left" w:leader="none"/>
              </w:tabs>
              <w:spacing w:line="216" w:lineRule="auto" w:before="0" w:after="0"/>
              <w:ind w:left="327" w:right="554" w:hanging="216"/>
              <w:jc w:val="left"/>
              <w:rPr>
                <w:sz w:val="24"/>
              </w:rPr>
            </w:pPr>
            <w:hyperlink r:id="rId42">
              <w:r>
                <w:rPr>
                  <w:color w:val="0000FF"/>
                  <w:sz w:val="24"/>
                </w:rPr>
                <w:t>SFFAS</w:t>
              </w:r>
              <w:r>
                <w:rPr>
                  <w:color w:val="0000FF"/>
                  <w:spacing w:val="-7"/>
                  <w:sz w:val="24"/>
                </w:rPr>
                <w:t> </w:t>
              </w:r>
              <w:r>
                <w:rPr>
                  <w:color w:val="0000FF"/>
                  <w:sz w:val="24"/>
                </w:rPr>
                <w:t>4</w:t>
              </w:r>
            </w:hyperlink>
            <w:r>
              <w:rPr>
                <w:sz w:val="24"/>
              </w:rPr>
              <w:t>:</w:t>
            </w:r>
            <w:r>
              <w:rPr>
                <w:spacing w:val="-8"/>
                <w:sz w:val="24"/>
              </w:rPr>
              <w:t> </w:t>
            </w:r>
            <w:r>
              <w:rPr>
                <w:sz w:val="24"/>
              </w:rPr>
              <w:t>Managerial</w:t>
            </w:r>
            <w:r>
              <w:rPr>
                <w:spacing w:val="-6"/>
                <w:sz w:val="24"/>
              </w:rPr>
              <w:t> </w:t>
            </w:r>
            <w:r>
              <w:rPr>
                <w:sz w:val="24"/>
              </w:rPr>
              <w:t>Cost</w:t>
            </w:r>
            <w:r>
              <w:rPr>
                <w:spacing w:val="-6"/>
                <w:sz w:val="24"/>
              </w:rPr>
              <w:t> </w:t>
            </w:r>
            <w:r>
              <w:rPr>
                <w:sz w:val="24"/>
              </w:rPr>
              <w:t>Accounting</w:t>
            </w:r>
            <w:r>
              <w:rPr>
                <w:spacing w:val="-7"/>
                <w:sz w:val="24"/>
              </w:rPr>
              <w:t> </w:t>
            </w:r>
            <w:r>
              <w:rPr>
                <w:sz w:val="24"/>
              </w:rPr>
              <w:t>Standards</w:t>
            </w:r>
            <w:r>
              <w:rPr>
                <w:spacing w:val="-7"/>
                <w:sz w:val="24"/>
              </w:rPr>
              <w:t> </w:t>
            </w:r>
            <w:r>
              <w:rPr>
                <w:sz w:val="24"/>
              </w:rPr>
              <w:t>and </w:t>
            </w:r>
            <w:r>
              <w:rPr>
                <w:spacing w:val="-2"/>
                <w:sz w:val="24"/>
              </w:rPr>
              <w:t>Concepts;</w:t>
            </w:r>
          </w:p>
          <w:p>
            <w:pPr>
              <w:pStyle w:val="TableParagraph"/>
              <w:numPr>
                <w:ilvl w:val="0"/>
                <w:numId w:val="21"/>
              </w:numPr>
              <w:tabs>
                <w:tab w:pos="328" w:val="left" w:leader="none"/>
              </w:tabs>
              <w:spacing w:line="270" w:lineRule="exact" w:before="0" w:after="0"/>
              <w:ind w:left="327" w:right="0" w:hanging="217"/>
              <w:jc w:val="left"/>
              <w:rPr>
                <w:sz w:val="24"/>
              </w:rPr>
            </w:pPr>
            <w:hyperlink r:id="rId43">
              <w:r>
                <w:rPr>
                  <w:color w:val="0000FF"/>
                  <w:sz w:val="24"/>
                </w:rPr>
                <w:t>SFFAS</w:t>
              </w:r>
              <w:r>
                <w:rPr>
                  <w:color w:val="0000FF"/>
                  <w:spacing w:val="-4"/>
                  <w:sz w:val="24"/>
                </w:rPr>
                <w:t> </w:t>
              </w:r>
              <w:r>
                <w:rPr>
                  <w:color w:val="0000FF"/>
                  <w:sz w:val="24"/>
                </w:rPr>
                <w:t>55</w:t>
              </w:r>
            </w:hyperlink>
            <w:r>
              <w:rPr>
                <w:sz w:val="24"/>
              </w:rPr>
              <w:t>:</w:t>
            </w:r>
            <w:r>
              <w:rPr>
                <w:spacing w:val="-3"/>
                <w:sz w:val="24"/>
              </w:rPr>
              <w:t> </w:t>
            </w:r>
            <w:r>
              <w:rPr>
                <w:sz w:val="24"/>
              </w:rPr>
              <w:t>Amending</w:t>
            </w:r>
            <w:r>
              <w:rPr>
                <w:spacing w:val="-3"/>
                <w:sz w:val="24"/>
              </w:rPr>
              <w:t> </w:t>
            </w:r>
            <w:r>
              <w:rPr>
                <w:sz w:val="24"/>
              </w:rPr>
              <w:t>Inter-entity</w:t>
            </w:r>
            <w:r>
              <w:rPr>
                <w:spacing w:val="-6"/>
                <w:sz w:val="24"/>
              </w:rPr>
              <w:t> </w:t>
            </w:r>
            <w:r>
              <w:rPr>
                <w:sz w:val="24"/>
              </w:rPr>
              <w:t>Cost </w:t>
            </w:r>
            <w:r>
              <w:rPr>
                <w:spacing w:val="-2"/>
                <w:sz w:val="24"/>
              </w:rPr>
              <w:t>Provisions.</w:t>
            </w:r>
          </w:p>
        </w:tc>
      </w:tr>
      <w:tr>
        <w:trPr>
          <w:trHeight w:val="1739"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1.2.1.2</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124"/>
              <w:rPr>
                <w:sz w:val="24"/>
              </w:rPr>
            </w:pPr>
            <w:r>
              <w:rPr>
                <w:sz w:val="24"/>
              </w:rPr>
              <w:t>Determine intragovernmental entity costs in addition to other costs (for example, direct, indirect,</w:t>
            </w:r>
            <w:r>
              <w:rPr>
                <w:spacing w:val="-9"/>
                <w:sz w:val="24"/>
              </w:rPr>
              <w:t> </w:t>
            </w:r>
            <w:r>
              <w:rPr>
                <w:sz w:val="24"/>
              </w:rPr>
              <w:t>and</w:t>
            </w:r>
            <w:r>
              <w:rPr>
                <w:spacing w:val="-10"/>
                <w:sz w:val="24"/>
              </w:rPr>
              <w:t> </w:t>
            </w:r>
            <w:r>
              <w:rPr>
                <w:sz w:val="24"/>
              </w:rPr>
              <w:t>depreciation)</w:t>
            </w:r>
            <w:r>
              <w:rPr>
                <w:spacing w:val="-10"/>
                <w:sz w:val="24"/>
              </w:rPr>
              <w:t> </w:t>
            </w:r>
            <w:r>
              <w:rPr>
                <w:sz w:val="24"/>
              </w:rPr>
              <w:t>by</w:t>
            </w:r>
            <w:r>
              <w:rPr>
                <w:spacing w:val="-10"/>
                <w:sz w:val="24"/>
              </w:rPr>
              <w:t> </w:t>
            </w:r>
            <w:r>
              <w:rPr>
                <w:sz w:val="24"/>
              </w:rPr>
              <w:t>cost object and responsibility segment</w:t>
            </w:r>
          </w:p>
          <w:p>
            <w:pPr>
              <w:pStyle w:val="TableParagraph"/>
              <w:spacing w:line="248" w:lineRule="exact"/>
              <w:ind w:left="110" w:right="145"/>
              <w:rPr>
                <w:sz w:val="24"/>
              </w:rPr>
            </w:pPr>
            <w:r>
              <w:rPr>
                <w:sz w:val="24"/>
              </w:rPr>
              <w:t>consistent</w:t>
            </w:r>
            <w:r>
              <w:rPr>
                <w:spacing w:val="-14"/>
                <w:sz w:val="24"/>
              </w:rPr>
              <w:t> </w:t>
            </w:r>
            <w:r>
              <w:rPr>
                <w:sz w:val="24"/>
              </w:rPr>
              <w:t>with</w:t>
            </w:r>
            <w:r>
              <w:rPr>
                <w:spacing w:val="-14"/>
                <w:sz w:val="24"/>
              </w:rPr>
              <w:t> </w:t>
            </w:r>
            <w:r>
              <w:rPr>
                <w:sz w:val="24"/>
              </w:rPr>
              <w:t>the</w:t>
            </w:r>
            <w:r>
              <w:rPr>
                <w:spacing w:val="-14"/>
                <w:sz w:val="24"/>
              </w:rPr>
              <w:t> </w:t>
            </w:r>
            <w:r>
              <w:rPr>
                <w:sz w:val="24"/>
              </w:rPr>
              <w:t>FASAB </w:t>
            </w:r>
            <w:r>
              <w:rPr>
                <w:spacing w:val="-2"/>
                <w:sz w:val="24"/>
              </w:rPr>
              <w:t>Handbook.</w:t>
            </w:r>
          </w:p>
        </w:tc>
        <w:tc>
          <w:tcPr>
            <w:tcW w:w="6628" w:type="dxa"/>
          </w:tcPr>
          <w:p>
            <w:pPr>
              <w:pStyle w:val="TableParagraph"/>
              <w:numPr>
                <w:ilvl w:val="0"/>
                <w:numId w:val="22"/>
              </w:numPr>
              <w:tabs>
                <w:tab w:pos="328" w:val="left" w:leader="none"/>
              </w:tabs>
              <w:spacing w:line="216" w:lineRule="auto" w:before="0" w:after="0"/>
              <w:ind w:left="327" w:right="554" w:hanging="216"/>
              <w:jc w:val="left"/>
              <w:rPr>
                <w:sz w:val="24"/>
              </w:rPr>
            </w:pPr>
            <w:hyperlink r:id="rId42">
              <w:r>
                <w:rPr>
                  <w:color w:val="0000FF"/>
                  <w:sz w:val="24"/>
                </w:rPr>
                <w:t>SFFAS</w:t>
              </w:r>
              <w:r>
                <w:rPr>
                  <w:color w:val="0000FF"/>
                  <w:spacing w:val="-7"/>
                  <w:sz w:val="24"/>
                </w:rPr>
                <w:t> </w:t>
              </w:r>
              <w:r>
                <w:rPr>
                  <w:color w:val="0000FF"/>
                  <w:sz w:val="24"/>
                </w:rPr>
                <w:t>4</w:t>
              </w:r>
            </w:hyperlink>
            <w:r>
              <w:rPr>
                <w:sz w:val="24"/>
              </w:rPr>
              <w:t>:</w:t>
            </w:r>
            <w:r>
              <w:rPr>
                <w:spacing w:val="-8"/>
                <w:sz w:val="24"/>
              </w:rPr>
              <w:t> </w:t>
            </w:r>
            <w:r>
              <w:rPr>
                <w:sz w:val="24"/>
              </w:rPr>
              <w:t>Managerial</w:t>
            </w:r>
            <w:r>
              <w:rPr>
                <w:spacing w:val="-6"/>
                <w:sz w:val="24"/>
              </w:rPr>
              <w:t> </w:t>
            </w:r>
            <w:r>
              <w:rPr>
                <w:sz w:val="24"/>
              </w:rPr>
              <w:t>Cost</w:t>
            </w:r>
            <w:r>
              <w:rPr>
                <w:spacing w:val="-6"/>
                <w:sz w:val="24"/>
              </w:rPr>
              <w:t> </w:t>
            </w:r>
            <w:r>
              <w:rPr>
                <w:sz w:val="24"/>
              </w:rPr>
              <w:t>Accounting</w:t>
            </w:r>
            <w:r>
              <w:rPr>
                <w:spacing w:val="-7"/>
                <w:sz w:val="24"/>
              </w:rPr>
              <w:t> </w:t>
            </w:r>
            <w:r>
              <w:rPr>
                <w:sz w:val="24"/>
              </w:rPr>
              <w:t>Standards</w:t>
            </w:r>
            <w:r>
              <w:rPr>
                <w:spacing w:val="-7"/>
                <w:sz w:val="24"/>
              </w:rPr>
              <w:t> </w:t>
            </w:r>
            <w:r>
              <w:rPr>
                <w:sz w:val="24"/>
              </w:rPr>
              <w:t>and </w:t>
            </w:r>
            <w:r>
              <w:rPr>
                <w:spacing w:val="-2"/>
                <w:sz w:val="24"/>
              </w:rPr>
              <w:t>Concepts;</w:t>
            </w:r>
          </w:p>
          <w:p>
            <w:pPr>
              <w:pStyle w:val="TableParagraph"/>
              <w:numPr>
                <w:ilvl w:val="0"/>
                <w:numId w:val="22"/>
              </w:numPr>
              <w:tabs>
                <w:tab w:pos="328" w:val="left" w:leader="none"/>
              </w:tabs>
              <w:spacing w:line="270" w:lineRule="exact" w:before="0" w:after="0"/>
              <w:ind w:left="327" w:right="0" w:hanging="217"/>
              <w:jc w:val="left"/>
              <w:rPr>
                <w:sz w:val="24"/>
              </w:rPr>
            </w:pPr>
            <w:hyperlink r:id="rId43">
              <w:r>
                <w:rPr>
                  <w:color w:val="0000FF"/>
                  <w:sz w:val="24"/>
                </w:rPr>
                <w:t>SFFAS</w:t>
              </w:r>
              <w:r>
                <w:rPr>
                  <w:color w:val="0000FF"/>
                  <w:spacing w:val="-4"/>
                  <w:sz w:val="24"/>
                </w:rPr>
                <w:t> </w:t>
              </w:r>
              <w:r>
                <w:rPr>
                  <w:color w:val="0000FF"/>
                  <w:sz w:val="24"/>
                </w:rPr>
                <w:t>55</w:t>
              </w:r>
            </w:hyperlink>
            <w:r>
              <w:rPr>
                <w:sz w:val="24"/>
              </w:rPr>
              <w:t>:</w:t>
            </w:r>
            <w:r>
              <w:rPr>
                <w:spacing w:val="-3"/>
                <w:sz w:val="24"/>
              </w:rPr>
              <w:t> </w:t>
            </w:r>
            <w:r>
              <w:rPr>
                <w:sz w:val="24"/>
              </w:rPr>
              <w:t>Amending</w:t>
            </w:r>
            <w:r>
              <w:rPr>
                <w:spacing w:val="-3"/>
                <w:sz w:val="24"/>
              </w:rPr>
              <w:t> </w:t>
            </w:r>
            <w:r>
              <w:rPr>
                <w:sz w:val="24"/>
              </w:rPr>
              <w:t>Inter-entity</w:t>
            </w:r>
            <w:r>
              <w:rPr>
                <w:spacing w:val="-6"/>
                <w:sz w:val="24"/>
              </w:rPr>
              <w:t> </w:t>
            </w:r>
            <w:r>
              <w:rPr>
                <w:sz w:val="24"/>
              </w:rPr>
              <w:t>Cost </w:t>
            </w:r>
            <w:r>
              <w:rPr>
                <w:spacing w:val="-2"/>
                <w:sz w:val="24"/>
              </w:rPr>
              <w:t>Provisions.</w:t>
            </w:r>
          </w:p>
        </w:tc>
      </w:tr>
    </w:tbl>
    <w:p>
      <w:pPr>
        <w:spacing w:after="0" w:line="270" w:lineRule="exact"/>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ind w:left="0"/>
              <w:rPr>
                <w:sz w:val="35"/>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3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ind w:left="0"/>
              <w:rPr>
                <w:sz w:val="35"/>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6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ind w:left="0"/>
              <w:rPr>
                <w:sz w:val="35"/>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ind w:left="0"/>
              <w:rPr>
                <w:sz w:val="35"/>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3230"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53" w:lineRule="exact"/>
              <w:ind w:left="107"/>
              <w:rPr>
                <w:sz w:val="24"/>
              </w:rPr>
            </w:pPr>
            <w:r>
              <w:rPr>
                <w:spacing w:val="-2"/>
                <w:sz w:val="24"/>
              </w:rPr>
              <w:t>1.2.1.3</w:t>
            </w:r>
          </w:p>
        </w:tc>
        <w:tc>
          <w:tcPr>
            <w:tcW w:w="1534" w:type="dxa"/>
          </w:tcPr>
          <w:p>
            <w:pPr>
              <w:pStyle w:val="TableParagraph"/>
              <w:spacing w:line="253" w:lineRule="exact"/>
              <w:ind w:left="109"/>
              <w:rPr>
                <w:sz w:val="24"/>
              </w:rPr>
            </w:pPr>
            <w:r>
              <w:rPr>
                <w:spacing w:val="-5"/>
                <w:sz w:val="24"/>
              </w:rPr>
              <w:t>DO</w:t>
            </w:r>
          </w:p>
        </w:tc>
        <w:tc>
          <w:tcPr>
            <w:tcW w:w="3834" w:type="dxa"/>
          </w:tcPr>
          <w:p>
            <w:pPr>
              <w:pStyle w:val="TableParagraph"/>
              <w:spacing w:line="248" w:lineRule="exact"/>
              <w:ind w:left="110" w:right="134"/>
              <w:rPr>
                <w:sz w:val="24"/>
              </w:rPr>
            </w:pPr>
            <w:r>
              <w:rPr>
                <w:sz w:val="24"/>
              </w:rPr>
              <w:t>Provide cost management data required to post GL transactions consistent with USSGL attributes (for example, program indicator), transaction codes, transaction categories (for example, accruals/non-</w:t>
            </w:r>
            <w:r>
              <w:rPr>
                <w:spacing w:val="-17"/>
                <w:sz w:val="24"/>
              </w:rPr>
              <w:t> </w:t>
            </w:r>
            <w:r>
              <w:rPr>
                <w:sz w:val="24"/>
              </w:rPr>
              <w:t>budgetary</w:t>
            </w:r>
            <w:r>
              <w:rPr>
                <w:spacing w:val="-17"/>
                <w:sz w:val="24"/>
              </w:rPr>
              <w:t> </w:t>
            </w:r>
            <w:r>
              <w:rPr>
                <w:sz w:val="24"/>
              </w:rPr>
              <w:t>transfers other than disbursements and collections), transaction subcategories (for example, accrual, depreciation, amortization, and depletion) as defined in the TFM.</w:t>
            </w:r>
          </w:p>
        </w:tc>
        <w:tc>
          <w:tcPr>
            <w:tcW w:w="6628" w:type="dxa"/>
          </w:tcPr>
          <w:p>
            <w:pPr>
              <w:pStyle w:val="TableParagraph"/>
              <w:numPr>
                <w:ilvl w:val="0"/>
                <w:numId w:val="23"/>
              </w:numPr>
              <w:tabs>
                <w:tab w:pos="328" w:val="left" w:leader="none"/>
              </w:tabs>
              <w:spacing w:line="257"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3"/>
                <w:sz w:val="24"/>
              </w:rPr>
              <w:t> </w:t>
            </w:r>
            <w:r>
              <w:rPr>
                <w:sz w:val="24"/>
              </w:rPr>
              <w:t>III:</w:t>
            </w:r>
            <w:r>
              <w:rPr>
                <w:spacing w:val="-3"/>
                <w:sz w:val="24"/>
              </w:rPr>
              <w:t> </w:t>
            </w:r>
            <w:r>
              <w:rPr>
                <w:sz w:val="24"/>
              </w:rPr>
              <w:t>Account</w:t>
            </w:r>
            <w:r>
              <w:rPr>
                <w:spacing w:val="-3"/>
                <w:sz w:val="24"/>
              </w:rPr>
              <w:t> </w:t>
            </w:r>
            <w:r>
              <w:rPr>
                <w:spacing w:val="-2"/>
                <w:sz w:val="24"/>
              </w:rPr>
              <w:t>Transactions;</w:t>
            </w:r>
          </w:p>
          <w:p>
            <w:pPr>
              <w:pStyle w:val="TableParagraph"/>
              <w:numPr>
                <w:ilvl w:val="0"/>
                <w:numId w:val="23"/>
              </w:numPr>
              <w:tabs>
                <w:tab w:pos="328" w:val="left" w:leader="none"/>
              </w:tabs>
              <w:spacing w:line="213" w:lineRule="auto" w:before="12" w:after="0"/>
              <w:ind w:left="327" w:right="459" w:hanging="216"/>
              <w:jc w:val="left"/>
              <w:rPr>
                <w:sz w:val="24"/>
              </w:rPr>
            </w:pPr>
            <w:hyperlink r:id="rId14">
              <w:r>
                <w:rPr>
                  <w:color w:val="0000FF"/>
                  <w:sz w:val="24"/>
                </w:rPr>
                <w:t>USSGL</w:t>
              </w:r>
            </w:hyperlink>
            <w:r>
              <w:rPr>
                <w:sz w:val="24"/>
              </w:rPr>
              <w:t>, Section IV: Account Attributes for USSGL Proprietary</w:t>
            </w:r>
            <w:r>
              <w:rPr>
                <w:spacing w:val="-11"/>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7"/>
                <w:sz w:val="24"/>
              </w:rPr>
              <w:t> </w:t>
            </w:r>
            <w:r>
              <w:rPr>
                <w:sz w:val="24"/>
              </w:rPr>
              <w:t>Reporting;</w:t>
            </w:r>
          </w:p>
          <w:p>
            <w:pPr>
              <w:pStyle w:val="TableParagraph"/>
              <w:numPr>
                <w:ilvl w:val="0"/>
                <w:numId w:val="23"/>
              </w:numPr>
              <w:tabs>
                <w:tab w:pos="328" w:val="left" w:leader="none"/>
              </w:tabs>
              <w:spacing w:line="216" w:lineRule="auto" w:before="3"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bl>
    <w:p>
      <w:pPr>
        <w:spacing w:after="0" w:line="216" w:lineRule="auto"/>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5626" w:hRule="atLeast"/>
        </w:trPr>
        <w:tc>
          <w:tcPr>
            <w:tcW w:w="1525" w:type="dxa"/>
            <w:vMerge w:val="restart"/>
          </w:tcPr>
          <w:p>
            <w:pPr>
              <w:pStyle w:val="TableParagraph"/>
              <w:spacing w:line="244" w:lineRule="exact"/>
              <w:ind w:left="107"/>
              <w:rPr>
                <w:sz w:val="24"/>
              </w:rPr>
            </w:pPr>
            <w:r>
              <w:rPr>
                <w:spacing w:val="-4"/>
                <w:sz w:val="24"/>
              </w:rPr>
              <w:t>1.3.1</w:t>
            </w:r>
          </w:p>
        </w:tc>
        <w:tc>
          <w:tcPr>
            <w:tcW w:w="1761" w:type="dxa"/>
            <w:vMerge w:val="restart"/>
          </w:tcPr>
          <w:p>
            <w:pPr>
              <w:pStyle w:val="TableParagraph"/>
              <w:spacing w:line="216" w:lineRule="auto"/>
              <w:ind w:left="108" w:right="252"/>
              <w:rPr>
                <w:sz w:val="24"/>
              </w:rPr>
            </w:pPr>
            <w:r>
              <w:rPr>
                <w:sz w:val="24"/>
              </w:rPr>
              <w:t>Providing</w:t>
            </w:r>
            <w:r>
              <w:rPr>
                <w:spacing w:val="-17"/>
                <w:sz w:val="24"/>
              </w:rPr>
              <w:t> </w:t>
            </w:r>
            <w:r>
              <w:rPr>
                <w:sz w:val="24"/>
              </w:rPr>
              <w:t>GL </w:t>
            </w:r>
            <w:r>
              <w:rPr>
                <w:spacing w:val="-2"/>
                <w:sz w:val="24"/>
              </w:rPr>
              <w:t>Information</w:t>
            </w:r>
          </w:p>
        </w:tc>
        <w:tc>
          <w:tcPr>
            <w:tcW w:w="1984" w:type="dxa"/>
          </w:tcPr>
          <w:p>
            <w:pPr>
              <w:pStyle w:val="TableParagraph"/>
              <w:spacing w:line="244" w:lineRule="exact"/>
              <w:ind w:left="107"/>
              <w:rPr>
                <w:sz w:val="24"/>
              </w:rPr>
            </w:pPr>
            <w:r>
              <w:rPr>
                <w:spacing w:val="-2"/>
                <w:sz w:val="24"/>
              </w:rPr>
              <w:t>1.3.1.1</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45"/>
              <w:rPr>
                <w:sz w:val="24"/>
              </w:rPr>
            </w:pPr>
            <w:r>
              <w:rPr>
                <w:sz w:val="24"/>
              </w:rPr>
              <w:t>Provide reviewed and approved GL and supporting financial reporting information for consolidated government-wide reporting</w:t>
            </w:r>
            <w:r>
              <w:rPr>
                <w:spacing w:val="-8"/>
                <w:sz w:val="24"/>
              </w:rPr>
              <w:t> </w:t>
            </w:r>
            <w:r>
              <w:rPr>
                <w:sz w:val="24"/>
              </w:rPr>
              <w:t>as</w:t>
            </w:r>
            <w:r>
              <w:rPr>
                <w:spacing w:val="-8"/>
                <w:sz w:val="24"/>
              </w:rPr>
              <w:t> </w:t>
            </w:r>
            <w:r>
              <w:rPr>
                <w:sz w:val="24"/>
              </w:rPr>
              <w:t>specified</w:t>
            </w:r>
            <w:r>
              <w:rPr>
                <w:spacing w:val="-8"/>
                <w:sz w:val="24"/>
              </w:rPr>
              <w:t> </w:t>
            </w:r>
            <w:r>
              <w:rPr>
                <w:sz w:val="24"/>
              </w:rPr>
              <w:t>in</w:t>
            </w:r>
            <w:r>
              <w:rPr>
                <w:spacing w:val="-8"/>
                <w:sz w:val="24"/>
              </w:rPr>
              <w:t> </w:t>
            </w:r>
            <w:r>
              <w:rPr>
                <w:sz w:val="24"/>
              </w:rPr>
              <w:t>the</w:t>
            </w:r>
            <w:r>
              <w:rPr>
                <w:spacing w:val="-8"/>
                <w:sz w:val="24"/>
              </w:rPr>
              <w:t> </w:t>
            </w:r>
            <w:r>
              <w:rPr>
                <w:sz w:val="24"/>
              </w:rPr>
              <w:t>TFM and consistent with guidelines in the</w:t>
            </w:r>
            <w:r>
              <w:rPr>
                <w:spacing w:val="-3"/>
                <w:sz w:val="24"/>
              </w:rPr>
              <w:t> </w:t>
            </w:r>
            <w:r>
              <w:rPr>
                <w:sz w:val="24"/>
              </w:rPr>
              <w:t>FASAB</w:t>
            </w:r>
            <w:r>
              <w:rPr>
                <w:spacing w:val="-2"/>
                <w:sz w:val="24"/>
              </w:rPr>
              <w:t> </w:t>
            </w:r>
            <w:r>
              <w:rPr>
                <w:sz w:val="24"/>
              </w:rPr>
              <w:t>Handbook</w:t>
            </w:r>
            <w:r>
              <w:rPr>
                <w:spacing w:val="-2"/>
                <w:sz w:val="24"/>
              </w:rPr>
              <w:t> </w:t>
            </w:r>
            <w:r>
              <w:rPr>
                <w:sz w:val="24"/>
              </w:rPr>
              <w:t>as</w:t>
            </w:r>
            <w:r>
              <w:rPr>
                <w:spacing w:val="-3"/>
                <w:sz w:val="24"/>
              </w:rPr>
              <w:t> </w:t>
            </w:r>
            <w:r>
              <w:rPr>
                <w:sz w:val="24"/>
              </w:rPr>
              <w:t>well</w:t>
            </w:r>
            <w:r>
              <w:rPr>
                <w:spacing w:val="-3"/>
                <w:sz w:val="24"/>
              </w:rPr>
              <w:t> </w:t>
            </w:r>
            <w:r>
              <w:rPr>
                <w:sz w:val="24"/>
              </w:rPr>
              <w:t>as OMB Circular No. A-136.</w:t>
            </w:r>
          </w:p>
        </w:tc>
        <w:tc>
          <w:tcPr>
            <w:tcW w:w="6628" w:type="dxa"/>
          </w:tcPr>
          <w:p>
            <w:pPr>
              <w:pStyle w:val="TableParagraph"/>
              <w:numPr>
                <w:ilvl w:val="0"/>
                <w:numId w:val="24"/>
              </w:numPr>
              <w:tabs>
                <w:tab w:pos="328" w:val="left" w:leader="none"/>
              </w:tabs>
              <w:spacing w:line="216" w:lineRule="auto" w:before="0" w:after="0"/>
              <w:ind w:left="327" w:right="94" w:hanging="216"/>
              <w:jc w:val="left"/>
              <w:rPr>
                <w:sz w:val="24"/>
              </w:rPr>
            </w:pPr>
            <w:r>
              <w:rPr>
                <w:sz w:val="24"/>
              </w:rPr>
              <w:t>TFM </w:t>
            </w:r>
            <w:hyperlink r:id="rId44">
              <w:r>
                <w:rPr>
                  <w:color w:val="0000FF"/>
                  <w:sz w:val="24"/>
                </w:rPr>
                <w:t>Volume I, Part 2, Chapter 4700</w:t>
              </w:r>
            </w:hyperlink>
            <w:r>
              <w:rPr>
                <w:color w:val="0000FF"/>
                <w:sz w:val="24"/>
              </w:rPr>
              <w:t> </w:t>
            </w:r>
            <w:r>
              <w:rPr>
                <w:sz w:val="24"/>
              </w:rPr>
              <w:t>Agency Reporting Requirements</w:t>
            </w:r>
            <w:r>
              <w:rPr>
                <w:spacing w:val="-8"/>
                <w:sz w:val="24"/>
              </w:rPr>
              <w:t> </w:t>
            </w:r>
            <w:r>
              <w:rPr>
                <w:sz w:val="24"/>
              </w:rPr>
              <w:t>for</w:t>
            </w:r>
            <w:r>
              <w:rPr>
                <w:spacing w:val="-35"/>
                <w:sz w:val="24"/>
              </w:rPr>
              <w:t> </w:t>
            </w:r>
            <w:r>
              <w:rPr>
                <w:sz w:val="24"/>
              </w:rPr>
              <w:t>the</w:t>
            </w:r>
            <w:r>
              <w:rPr>
                <w:spacing w:val="-6"/>
                <w:sz w:val="24"/>
              </w:rPr>
              <w:t> </w:t>
            </w:r>
            <w:r>
              <w:rPr>
                <w:sz w:val="24"/>
              </w:rPr>
              <w:t>Financial</w:t>
            </w:r>
            <w:r>
              <w:rPr>
                <w:spacing w:val="-5"/>
                <w:sz w:val="24"/>
              </w:rPr>
              <w:t> </w:t>
            </w:r>
            <w:r>
              <w:rPr>
                <w:sz w:val="24"/>
              </w:rPr>
              <w:t>Report</w:t>
            </w:r>
            <w:r>
              <w:rPr>
                <w:spacing w:val="-5"/>
                <w:sz w:val="24"/>
              </w:rPr>
              <w:t> </w:t>
            </w:r>
            <w:r>
              <w:rPr>
                <w:sz w:val="24"/>
              </w:rPr>
              <w:t>of</w:t>
            </w:r>
            <w:r>
              <w:rPr>
                <w:spacing w:val="-6"/>
                <w:sz w:val="24"/>
              </w:rPr>
              <w:t> </w:t>
            </w:r>
            <w:r>
              <w:rPr>
                <w:sz w:val="24"/>
              </w:rPr>
              <w:t>the</w:t>
            </w:r>
            <w:r>
              <w:rPr>
                <w:spacing w:val="-5"/>
                <w:sz w:val="24"/>
              </w:rPr>
              <w:t> </w:t>
            </w:r>
            <w:r>
              <w:rPr>
                <w:sz w:val="24"/>
              </w:rPr>
              <w:t>United</w:t>
            </w:r>
            <w:r>
              <w:rPr>
                <w:spacing w:val="-5"/>
                <w:sz w:val="24"/>
              </w:rPr>
              <w:t> </w:t>
            </w:r>
            <w:r>
              <w:rPr>
                <w:sz w:val="24"/>
              </w:rPr>
              <w:t>States </w:t>
            </w:r>
            <w:r>
              <w:rPr>
                <w:spacing w:val="-2"/>
                <w:sz w:val="24"/>
              </w:rPr>
              <w:t>Government;</w:t>
            </w:r>
          </w:p>
          <w:p>
            <w:pPr>
              <w:pStyle w:val="TableParagraph"/>
              <w:numPr>
                <w:ilvl w:val="0"/>
                <w:numId w:val="24"/>
              </w:numPr>
              <w:tabs>
                <w:tab w:pos="328" w:val="left" w:leader="none"/>
              </w:tabs>
              <w:spacing w:line="213" w:lineRule="auto" w:before="0"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p>
            <w:pPr>
              <w:pStyle w:val="TableParagraph"/>
              <w:numPr>
                <w:ilvl w:val="0"/>
                <w:numId w:val="24"/>
              </w:numPr>
              <w:tabs>
                <w:tab w:pos="328" w:val="left" w:leader="none"/>
              </w:tabs>
              <w:spacing w:line="216" w:lineRule="auto" w:before="0" w:after="0"/>
              <w:ind w:left="327" w:right="793" w:hanging="216"/>
              <w:jc w:val="left"/>
              <w:rPr>
                <w:sz w:val="24"/>
              </w:rPr>
            </w:pPr>
            <w:r>
              <w:rPr>
                <w:sz w:val="24"/>
              </w:rPr>
              <w:t>Digital</w:t>
            </w:r>
            <w:r>
              <w:rPr>
                <w:spacing w:val="-7"/>
                <w:sz w:val="24"/>
              </w:rPr>
              <w:t> </w:t>
            </w:r>
            <w:r>
              <w:rPr>
                <w:sz w:val="24"/>
              </w:rPr>
              <w:t>Accountability</w:t>
            </w:r>
            <w:r>
              <w:rPr>
                <w:spacing w:val="-7"/>
                <w:sz w:val="24"/>
              </w:rPr>
              <w:t> </w:t>
            </w:r>
            <w:r>
              <w:rPr>
                <w:sz w:val="24"/>
              </w:rPr>
              <w:t>and</w:t>
            </w:r>
            <w:r>
              <w:rPr>
                <w:spacing w:val="-7"/>
                <w:sz w:val="24"/>
              </w:rPr>
              <w:t> </w:t>
            </w:r>
            <w:r>
              <w:rPr>
                <w:sz w:val="24"/>
              </w:rPr>
              <w:t>Transparency</w:t>
            </w:r>
            <w:r>
              <w:rPr>
                <w:spacing w:val="-7"/>
                <w:sz w:val="24"/>
              </w:rPr>
              <w:t> </w:t>
            </w:r>
            <w:r>
              <w:rPr>
                <w:sz w:val="24"/>
              </w:rPr>
              <w:t>Act</w:t>
            </w:r>
            <w:r>
              <w:rPr>
                <w:spacing w:val="-8"/>
                <w:sz w:val="24"/>
              </w:rPr>
              <w:t> </w:t>
            </w:r>
            <w:r>
              <w:rPr>
                <w:sz w:val="24"/>
              </w:rPr>
              <w:t>of</w:t>
            </w:r>
            <w:r>
              <w:rPr>
                <w:spacing w:val="-7"/>
                <w:sz w:val="24"/>
              </w:rPr>
              <w:t> </w:t>
            </w:r>
            <w:r>
              <w:rPr>
                <w:sz w:val="24"/>
              </w:rPr>
              <w:t>2014 (DATA Act);</w:t>
            </w:r>
          </w:p>
          <w:p>
            <w:pPr>
              <w:pStyle w:val="TableParagraph"/>
              <w:numPr>
                <w:ilvl w:val="0"/>
                <w:numId w:val="24"/>
              </w:numPr>
              <w:tabs>
                <w:tab w:pos="328" w:val="left" w:leader="none"/>
              </w:tabs>
              <w:spacing w:line="213" w:lineRule="auto" w:before="0" w:after="0"/>
              <w:ind w:left="327" w:right="452" w:hanging="216"/>
              <w:jc w:val="left"/>
              <w:rPr>
                <w:sz w:val="24"/>
              </w:rPr>
            </w:pPr>
            <w:hyperlink r:id="rId14">
              <w:r>
                <w:rPr>
                  <w:color w:val="0000FF"/>
                  <w:sz w:val="24"/>
                </w:rPr>
                <w:t>USSGL</w:t>
              </w:r>
            </w:hyperlink>
            <w:r>
              <w:rPr>
                <w:sz w:val="24"/>
              </w:rPr>
              <w:t>, Section IV: Account Attributes for USSGL Proprietary</w:t>
            </w:r>
            <w:r>
              <w:rPr>
                <w:spacing w:val="-9"/>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3"/>
                <w:sz w:val="24"/>
              </w:rPr>
              <w:t> </w:t>
            </w:r>
            <w:r>
              <w:rPr>
                <w:sz w:val="24"/>
              </w:rPr>
              <w:t>Reporting;</w:t>
            </w:r>
          </w:p>
          <w:p>
            <w:pPr>
              <w:pStyle w:val="TableParagraph"/>
              <w:numPr>
                <w:ilvl w:val="0"/>
                <w:numId w:val="24"/>
              </w:numPr>
              <w:tabs>
                <w:tab w:pos="328" w:val="left" w:leader="none"/>
              </w:tabs>
              <w:spacing w:line="216" w:lineRule="auto" w:before="3" w:after="0"/>
              <w:ind w:left="327" w:right="700" w:hanging="216"/>
              <w:jc w:val="left"/>
              <w:rPr>
                <w:sz w:val="24"/>
              </w:rPr>
            </w:pPr>
            <w:hyperlink r:id="rId14">
              <w:r>
                <w:rPr>
                  <w:color w:val="0000FF"/>
                  <w:sz w:val="24"/>
                </w:rPr>
                <w:t>USSGL</w:t>
              </w:r>
            </w:hyperlink>
            <w:r>
              <w:rPr>
                <w:sz w:val="24"/>
              </w:rPr>
              <w:t>,</w:t>
            </w:r>
            <w:r>
              <w:rPr>
                <w:spacing w:val="-6"/>
                <w:sz w:val="24"/>
              </w:rPr>
              <w:t> </w:t>
            </w:r>
            <w:r>
              <w:rPr>
                <w:sz w:val="24"/>
              </w:rPr>
              <w:t>Section</w:t>
            </w:r>
            <w:r>
              <w:rPr>
                <w:spacing w:val="-7"/>
                <w:sz w:val="24"/>
              </w:rPr>
              <w:t> </w:t>
            </w:r>
            <w:r>
              <w:rPr>
                <w:sz w:val="24"/>
              </w:rPr>
              <w:t>V:</w:t>
            </w:r>
            <w:r>
              <w:rPr>
                <w:spacing w:val="-6"/>
                <w:sz w:val="24"/>
              </w:rPr>
              <w:t> </w:t>
            </w:r>
            <w:r>
              <w:rPr>
                <w:sz w:val="24"/>
              </w:rPr>
              <w:t>Crosswalks</w:t>
            </w:r>
            <w:r>
              <w:rPr>
                <w:spacing w:val="-7"/>
                <w:sz w:val="24"/>
              </w:rPr>
              <w:t> </w:t>
            </w:r>
            <w:r>
              <w:rPr>
                <w:sz w:val="24"/>
              </w:rPr>
              <w:t>to</w:t>
            </w:r>
            <w:r>
              <w:rPr>
                <w:spacing w:val="-7"/>
                <w:sz w:val="24"/>
              </w:rPr>
              <w:t> </w:t>
            </w:r>
            <w:r>
              <w:rPr>
                <w:sz w:val="24"/>
              </w:rPr>
              <w:t>Standard</w:t>
            </w:r>
            <w:r>
              <w:rPr>
                <w:spacing w:val="-7"/>
                <w:sz w:val="24"/>
              </w:rPr>
              <w:t> </w:t>
            </w:r>
            <w:r>
              <w:rPr>
                <w:sz w:val="24"/>
              </w:rPr>
              <w:t>External </w:t>
            </w:r>
            <w:r>
              <w:rPr>
                <w:spacing w:val="-2"/>
                <w:sz w:val="24"/>
              </w:rPr>
              <w:t>Reports;</w:t>
            </w:r>
          </w:p>
          <w:p>
            <w:pPr>
              <w:pStyle w:val="TableParagraph"/>
              <w:numPr>
                <w:ilvl w:val="0"/>
                <w:numId w:val="24"/>
              </w:numPr>
              <w:tabs>
                <w:tab w:pos="328" w:val="left" w:leader="none"/>
              </w:tabs>
              <w:spacing w:line="213" w:lineRule="auto" w:before="3" w:after="0"/>
              <w:ind w:left="327" w:right="1261" w:hanging="216"/>
              <w:jc w:val="left"/>
              <w:rPr>
                <w:sz w:val="24"/>
              </w:rPr>
            </w:pPr>
            <w:hyperlink r:id="rId14">
              <w:r>
                <w:rPr>
                  <w:color w:val="0000FF"/>
                  <w:sz w:val="24"/>
                </w:rPr>
                <w:t>USSGL</w:t>
              </w:r>
            </w:hyperlink>
            <w:r>
              <w:rPr>
                <w:sz w:val="24"/>
              </w:rPr>
              <w:t>,</w:t>
            </w:r>
            <w:r>
              <w:rPr>
                <w:spacing w:val="-8"/>
                <w:sz w:val="24"/>
              </w:rPr>
              <w:t> </w:t>
            </w:r>
            <w:r>
              <w:rPr>
                <w:sz w:val="24"/>
              </w:rPr>
              <w:t>Section</w:t>
            </w:r>
            <w:r>
              <w:rPr>
                <w:spacing w:val="-8"/>
                <w:sz w:val="24"/>
              </w:rPr>
              <w:t> </w:t>
            </w:r>
            <w:r>
              <w:rPr>
                <w:sz w:val="24"/>
              </w:rPr>
              <w:t>VI:</w:t>
            </w:r>
            <w:r>
              <w:rPr>
                <w:spacing w:val="-9"/>
                <w:sz w:val="24"/>
              </w:rPr>
              <w:t> </w:t>
            </w:r>
            <w:r>
              <w:rPr>
                <w:sz w:val="24"/>
              </w:rPr>
              <w:t>Crosswalks</w:t>
            </w:r>
            <w:r>
              <w:rPr>
                <w:spacing w:val="-8"/>
                <w:sz w:val="24"/>
              </w:rPr>
              <w:t> </w:t>
            </w:r>
            <w:r>
              <w:rPr>
                <w:sz w:val="24"/>
              </w:rPr>
              <w:t>to</w:t>
            </w:r>
            <w:r>
              <w:rPr>
                <w:spacing w:val="-8"/>
                <w:sz w:val="24"/>
              </w:rPr>
              <w:t> </w:t>
            </w:r>
            <w:r>
              <w:rPr>
                <w:sz w:val="24"/>
              </w:rPr>
              <w:t>Reclassified </w:t>
            </w:r>
            <w:r>
              <w:rPr>
                <w:spacing w:val="-2"/>
                <w:sz w:val="24"/>
              </w:rPr>
              <w:t>Statements;</w:t>
            </w:r>
          </w:p>
          <w:p>
            <w:pPr>
              <w:pStyle w:val="TableParagraph"/>
              <w:numPr>
                <w:ilvl w:val="0"/>
                <w:numId w:val="24"/>
              </w:numPr>
              <w:tabs>
                <w:tab w:pos="328" w:val="left" w:leader="none"/>
              </w:tabs>
              <w:spacing w:line="216" w:lineRule="auto" w:before="2" w:after="0"/>
              <w:ind w:left="327" w:right="1500" w:hanging="216"/>
              <w:jc w:val="left"/>
              <w:rPr>
                <w:sz w:val="24"/>
              </w:rPr>
            </w:pPr>
            <w:hyperlink r:id="rId41">
              <w:r>
                <w:rPr>
                  <w:color w:val="0000FF"/>
                  <w:sz w:val="24"/>
                </w:rPr>
                <w:t>OMB</w:t>
              </w:r>
            </w:hyperlink>
            <w:r>
              <w:rPr>
                <w:color w:val="0000FF"/>
                <w:spacing w:val="-9"/>
                <w:sz w:val="24"/>
              </w:rPr>
              <w:t> </w:t>
            </w:r>
            <w:r>
              <w:rPr>
                <w:sz w:val="24"/>
              </w:rPr>
              <w:t>Circular</w:t>
            </w:r>
            <w:r>
              <w:rPr>
                <w:spacing w:val="-8"/>
                <w:sz w:val="24"/>
              </w:rPr>
              <w:t> </w:t>
            </w:r>
            <w:r>
              <w:rPr>
                <w:sz w:val="24"/>
              </w:rPr>
              <w:t>No.</w:t>
            </w:r>
            <w:r>
              <w:rPr>
                <w:spacing w:val="-8"/>
                <w:sz w:val="24"/>
              </w:rPr>
              <w:t> </w:t>
            </w:r>
            <w:r>
              <w:rPr>
                <w:sz w:val="24"/>
              </w:rPr>
              <w:t>A-136,</w:t>
            </w:r>
            <w:r>
              <w:rPr>
                <w:spacing w:val="-9"/>
                <w:sz w:val="24"/>
              </w:rPr>
              <w:t> </w:t>
            </w:r>
            <w:r>
              <w:rPr>
                <w:sz w:val="24"/>
              </w:rPr>
              <w:t>Financial</w:t>
            </w:r>
            <w:r>
              <w:rPr>
                <w:spacing w:val="-8"/>
                <w:sz w:val="24"/>
              </w:rPr>
              <w:t> </w:t>
            </w:r>
            <w:r>
              <w:rPr>
                <w:sz w:val="24"/>
              </w:rPr>
              <w:t>Reporting </w:t>
            </w:r>
            <w:r>
              <w:rPr>
                <w:spacing w:val="-2"/>
                <w:sz w:val="24"/>
              </w:rPr>
              <w:t>Requirements;</w:t>
            </w:r>
          </w:p>
          <w:p>
            <w:pPr>
              <w:pStyle w:val="TableParagraph"/>
              <w:numPr>
                <w:ilvl w:val="0"/>
                <w:numId w:val="24"/>
              </w:numPr>
              <w:tabs>
                <w:tab w:pos="328" w:val="left" w:leader="none"/>
              </w:tabs>
              <w:spacing w:line="216" w:lineRule="auto" w:before="1" w:after="0"/>
              <w:ind w:left="327" w:right="406" w:hanging="216"/>
              <w:jc w:val="left"/>
              <w:rPr>
                <w:sz w:val="24"/>
              </w:rPr>
            </w:pPr>
            <w:hyperlink r:id="rId45">
              <w:r>
                <w:rPr>
                  <w:color w:val="0000FF"/>
                  <w:sz w:val="24"/>
                </w:rPr>
                <w:t>Statement of Federal Financial Accounting Concepts</w:t>
              </w:r>
            </w:hyperlink>
            <w:r>
              <w:rPr>
                <w:color w:val="0000FF"/>
                <w:sz w:val="24"/>
              </w:rPr>
              <w:t> </w:t>
            </w:r>
            <w:hyperlink r:id="rId45">
              <w:r>
                <w:rPr>
                  <w:color w:val="0000FF"/>
                  <w:sz w:val="24"/>
                </w:rPr>
                <w:t>(SFFAC) 4</w:t>
              </w:r>
            </w:hyperlink>
            <w:r>
              <w:rPr>
                <w:sz w:val="24"/>
              </w:rPr>
              <w:t>: Intended Audience and Qualitative Characteristics</w:t>
            </w:r>
            <w:r>
              <w:rPr>
                <w:spacing w:val="-7"/>
                <w:sz w:val="24"/>
              </w:rPr>
              <w:t> </w:t>
            </w:r>
            <w:r>
              <w:rPr>
                <w:sz w:val="24"/>
              </w:rPr>
              <w:t>for</w:t>
            </w:r>
            <w:r>
              <w:rPr>
                <w:spacing w:val="-8"/>
                <w:sz w:val="24"/>
              </w:rPr>
              <w:t> </w:t>
            </w:r>
            <w:r>
              <w:rPr>
                <w:sz w:val="24"/>
              </w:rPr>
              <w:t>the</w:t>
            </w:r>
            <w:r>
              <w:rPr>
                <w:spacing w:val="-8"/>
                <w:sz w:val="24"/>
              </w:rPr>
              <w:t> </w:t>
            </w:r>
            <w:r>
              <w:rPr>
                <w:sz w:val="24"/>
              </w:rPr>
              <w:t>Consolidated</w:t>
            </w:r>
            <w:r>
              <w:rPr>
                <w:spacing w:val="-7"/>
                <w:sz w:val="24"/>
              </w:rPr>
              <w:t> </w:t>
            </w:r>
            <w:r>
              <w:rPr>
                <w:sz w:val="24"/>
              </w:rPr>
              <w:t>Financial</w:t>
            </w:r>
            <w:r>
              <w:rPr>
                <w:spacing w:val="-7"/>
                <w:sz w:val="24"/>
              </w:rPr>
              <w:t> </w:t>
            </w:r>
            <w:r>
              <w:rPr>
                <w:sz w:val="24"/>
              </w:rPr>
              <w:t>Report</w:t>
            </w:r>
            <w:r>
              <w:rPr>
                <w:spacing w:val="-6"/>
                <w:sz w:val="24"/>
              </w:rPr>
              <w:t> </w:t>
            </w:r>
            <w:r>
              <w:rPr>
                <w:sz w:val="24"/>
              </w:rPr>
              <w:t>of the United States Government;</w:t>
            </w:r>
          </w:p>
          <w:p>
            <w:pPr>
              <w:pStyle w:val="TableParagraph"/>
              <w:numPr>
                <w:ilvl w:val="0"/>
                <w:numId w:val="24"/>
              </w:numPr>
              <w:tabs>
                <w:tab w:pos="328" w:val="left" w:leader="none"/>
              </w:tabs>
              <w:spacing w:line="213" w:lineRule="auto" w:before="2" w:after="0"/>
              <w:ind w:left="327" w:right="739" w:hanging="216"/>
              <w:jc w:val="left"/>
              <w:rPr>
                <w:sz w:val="24"/>
              </w:rPr>
            </w:pPr>
            <w:hyperlink r:id="rId46">
              <w:r>
                <w:rPr>
                  <w:color w:val="0000FF"/>
                  <w:sz w:val="24"/>
                </w:rPr>
                <w:t>SFFAS</w:t>
              </w:r>
              <w:r>
                <w:rPr>
                  <w:color w:val="0000FF"/>
                  <w:spacing w:val="-7"/>
                  <w:sz w:val="24"/>
                </w:rPr>
                <w:t> </w:t>
              </w:r>
              <w:r>
                <w:rPr>
                  <w:color w:val="0000FF"/>
                  <w:sz w:val="24"/>
                </w:rPr>
                <w:t>24</w:t>
              </w:r>
            </w:hyperlink>
            <w:r>
              <w:rPr>
                <w:sz w:val="24"/>
              </w:rPr>
              <w:t>:</w:t>
            </w:r>
            <w:r>
              <w:rPr>
                <w:spacing w:val="-6"/>
                <w:sz w:val="24"/>
              </w:rPr>
              <w:t> </w:t>
            </w:r>
            <w:r>
              <w:rPr>
                <w:sz w:val="24"/>
              </w:rPr>
              <w:t>Selected</w:t>
            </w:r>
            <w:r>
              <w:rPr>
                <w:spacing w:val="-7"/>
                <w:sz w:val="24"/>
              </w:rPr>
              <w:t> </w:t>
            </w:r>
            <w:r>
              <w:rPr>
                <w:sz w:val="24"/>
              </w:rPr>
              <w:t>Standards</w:t>
            </w:r>
            <w:r>
              <w:rPr>
                <w:spacing w:val="-7"/>
                <w:sz w:val="24"/>
              </w:rPr>
              <w:t> </w:t>
            </w:r>
            <w:r>
              <w:rPr>
                <w:sz w:val="24"/>
              </w:rPr>
              <w:t>for</w:t>
            </w:r>
            <w:r>
              <w:rPr>
                <w:spacing w:val="-7"/>
                <w:sz w:val="24"/>
              </w:rPr>
              <w:t> </w:t>
            </w:r>
            <w:r>
              <w:rPr>
                <w:sz w:val="24"/>
              </w:rPr>
              <w:t>the</w:t>
            </w:r>
            <w:r>
              <w:rPr>
                <w:spacing w:val="-7"/>
                <w:sz w:val="24"/>
              </w:rPr>
              <w:t> </w:t>
            </w:r>
            <w:r>
              <w:rPr>
                <w:sz w:val="24"/>
              </w:rPr>
              <w:t>Consolidated Financial Report of the United States Government;</w:t>
            </w:r>
          </w:p>
          <w:p>
            <w:pPr>
              <w:pStyle w:val="TableParagraph"/>
              <w:numPr>
                <w:ilvl w:val="0"/>
                <w:numId w:val="24"/>
              </w:numPr>
              <w:tabs>
                <w:tab w:pos="328" w:val="left" w:leader="none"/>
              </w:tabs>
              <w:spacing w:line="256" w:lineRule="exact" w:before="0" w:after="0"/>
              <w:ind w:left="327" w:right="0" w:hanging="217"/>
              <w:jc w:val="left"/>
              <w:rPr>
                <w:sz w:val="24"/>
              </w:rPr>
            </w:pPr>
            <w:hyperlink r:id="rId47">
              <w:r>
                <w:rPr>
                  <w:color w:val="0000FF"/>
                  <w:sz w:val="24"/>
                </w:rPr>
                <w:t>SFFAS</w:t>
              </w:r>
              <w:r>
                <w:rPr>
                  <w:color w:val="0000FF"/>
                  <w:spacing w:val="-4"/>
                  <w:sz w:val="24"/>
                </w:rPr>
                <w:t> </w:t>
              </w:r>
              <w:r>
                <w:rPr>
                  <w:color w:val="0000FF"/>
                  <w:sz w:val="24"/>
                </w:rPr>
                <w:t>56</w:t>
              </w:r>
            </w:hyperlink>
            <w:r>
              <w:rPr>
                <w:sz w:val="24"/>
              </w:rPr>
              <w:t>:</w:t>
            </w:r>
            <w:r>
              <w:rPr>
                <w:spacing w:val="-2"/>
                <w:sz w:val="24"/>
              </w:rPr>
              <w:t> </w:t>
            </w:r>
            <w:r>
              <w:rPr>
                <w:sz w:val="24"/>
              </w:rPr>
              <w:t>Classified</w:t>
            </w:r>
            <w:r>
              <w:rPr>
                <w:spacing w:val="-2"/>
                <w:sz w:val="24"/>
              </w:rPr>
              <w:t> Activities.</w:t>
            </w:r>
          </w:p>
        </w:tc>
      </w:tr>
      <w:tr>
        <w:trPr>
          <w:trHeight w:val="1042"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1.3.1.2</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91"/>
              <w:rPr>
                <w:sz w:val="24"/>
              </w:rPr>
            </w:pPr>
            <w:r>
              <w:rPr>
                <w:sz w:val="24"/>
              </w:rPr>
              <w:t>Provide GL information for agency-specific financial reports consistent</w:t>
            </w:r>
            <w:r>
              <w:rPr>
                <w:spacing w:val="-9"/>
                <w:sz w:val="24"/>
              </w:rPr>
              <w:t> </w:t>
            </w:r>
            <w:r>
              <w:rPr>
                <w:sz w:val="24"/>
              </w:rPr>
              <w:t>with</w:t>
            </w:r>
            <w:r>
              <w:rPr>
                <w:spacing w:val="-10"/>
                <w:sz w:val="24"/>
              </w:rPr>
              <w:t> </w:t>
            </w:r>
            <w:r>
              <w:rPr>
                <w:sz w:val="24"/>
              </w:rPr>
              <w:t>OMB</w:t>
            </w:r>
            <w:r>
              <w:rPr>
                <w:spacing w:val="-12"/>
                <w:sz w:val="24"/>
              </w:rPr>
              <w:t> </w:t>
            </w:r>
            <w:r>
              <w:rPr>
                <w:sz w:val="24"/>
              </w:rPr>
              <w:t>Circular</w:t>
            </w:r>
            <w:r>
              <w:rPr>
                <w:spacing w:val="-9"/>
                <w:sz w:val="24"/>
              </w:rPr>
              <w:t> </w:t>
            </w:r>
            <w:r>
              <w:rPr>
                <w:sz w:val="24"/>
              </w:rPr>
              <w:t>No. A-136 and FASAB Handbook.</w:t>
            </w:r>
          </w:p>
        </w:tc>
        <w:tc>
          <w:tcPr>
            <w:tcW w:w="6628" w:type="dxa"/>
          </w:tcPr>
          <w:p>
            <w:pPr>
              <w:pStyle w:val="TableParagraph"/>
              <w:numPr>
                <w:ilvl w:val="0"/>
                <w:numId w:val="25"/>
              </w:numPr>
              <w:tabs>
                <w:tab w:pos="328" w:val="left" w:leader="none"/>
              </w:tabs>
              <w:spacing w:line="247" w:lineRule="exact" w:before="0" w:after="0"/>
              <w:ind w:left="327" w:right="0" w:hanging="217"/>
              <w:jc w:val="left"/>
              <w:rPr>
                <w:sz w:val="24"/>
              </w:rPr>
            </w:pPr>
            <w:hyperlink r:id="rId48">
              <w:r>
                <w:rPr>
                  <w:color w:val="0000FF"/>
                  <w:sz w:val="24"/>
                </w:rPr>
                <w:t>SFFAC</w:t>
              </w:r>
              <w:r>
                <w:rPr>
                  <w:color w:val="0000FF"/>
                  <w:spacing w:val="-4"/>
                  <w:sz w:val="24"/>
                </w:rPr>
                <w:t> </w:t>
              </w:r>
              <w:r>
                <w:rPr>
                  <w:color w:val="0000FF"/>
                  <w:sz w:val="24"/>
                </w:rPr>
                <w:t>2</w:t>
              </w:r>
            </w:hyperlink>
            <w:r>
              <w:rPr>
                <w:sz w:val="24"/>
              </w:rPr>
              <w:t>:</w:t>
            </w:r>
            <w:r>
              <w:rPr>
                <w:spacing w:val="-3"/>
                <w:sz w:val="24"/>
              </w:rPr>
              <w:t> </w:t>
            </w:r>
            <w:r>
              <w:rPr>
                <w:sz w:val="24"/>
              </w:rPr>
              <w:t>Entity</w:t>
            </w:r>
            <w:r>
              <w:rPr>
                <w:spacing w:val="-2"/>
                <w:sz w:val="24"/>
              </w:rPr>
              <w:t> </w:t>
            </w:r>
            <w:r>
              <w:rPr>
                <w:sz w:val="24"/>
              </w:rPr>
              <w:t>and</w:t>
            </w:r>
            <w:r>
              <w:rPr>
                <w:spacing w:val="-2"/>
                <w:sz w:val="24"/>
              </w:rPr>
              <w:t> Display;</w:t>
            </w:r>
          </w:p>
          <w:p>
            <w:pPr>
              <w:pStyle w:val="TableParagraph"/>
              <w:numPr>
                <w:ilvl w:val="0"/>
                <w:numId w:val="25"/>
              </w:numPr>
              <w:tabs>
                <w:tab w:pos="328" w:val="left" w:leader="none"/>
              </w:tabs>
              <w:spacing w:line="265" w:lineRule="exact" w:before="0" w:after="0"/>
              <w:ind w:left="327" w:right="0" w:hanging="217"/>
              <w:jc w:val="left"/>
              <w:rPr>
                <w:sz w:val="24"/>
              </w:rPr>
            </w:pPr>
            <w:hyperlink r:id="rId47">
              <w:r>
                <w:rPr>
                  <w:color w:val="0000FF"/>
                  <w:sz w:val="24"/>
                </w:rPr>
                <w:t>SFFAS</w:t>
              </w:r>
              <w:r>
                <w:rPr>
                  <w:color w:val="0000FF"/>
                  <w:spacing w:val="-4"/>
                  <w:sz w:val="24"/>
                </w:rPr>
                <w:t> </w:t>
              </w:r>
              <w:r>
                <w:rPr>
                  <w:color w:val="0000FF"/>
                  <w:sz w:val="24"/>
                </w:rPr>
                <w:t>56</w:t>
              </w:r>
            </w:hyperlink>
            <w:r>
              <w:rPr>
                <w:sz w:val="24"/>
              </w:rPr>
              <w:t>:</w:t>
            </w:r>
            <w:r>
              <w:rPr>
                <w:spacing w:val="-3"/>
                <w:sz w:val="24"/>
              </w:rPr>
              <w:t> </w:t>
            </w:r>
            <w:r>
              <w:rPr>
                <w:sz w:val="24"/>
              </w:rPr>
              <w:t>Classified</w:t>
            </w:r>
            <w:r>
              <w:rPr>
                <w:spacing w:val="-2"/>
                <w:sz w:val="24"/>
              </w:rPr>
              <w:t> Activities;</w:t>
            </w:r>
          </w:p>
          <w:p>
            <w:pPr>
              <w:pStyle w:val="TableParagraph"/>
              <w:numPr>
                <w:ilvl w:val="0"/>
                <w:numId w:val="25"/>
              </w:numPr>
              <w:tabs>
                <w:tab w:pos="328" w:val="left" w:leader="none"/>
              </w:tabs>
              <w:spacing w:line="250" w:lineRule="exact" w:before="11" w:after="0"/>
              <w:ind w:left="327" w:right="1500" w:hanging="216"/>
              <w:jc w:val="left"/>
              <w:rPr>
                <w:sz w:val="24"/>
              </w:rPr>
            </w:pPr>
            <w:hyperlink r:id="rId41">
              <w:r>
                <w:rPr>
                  <w:color w:val="0000FF"/>
                  <w:sz w:val="24"/>
                </w:rPr>
                <w:t>OMB</w:t>
              </w:r>
            </w:hyperlink>
            <w:r>
              <w:rPr>
                <w:color w:val="0000FF"/>
                <w:spacing w:val="-9"/>
                <w:sz w:val="24"/>
              </w:rPr>
              <w:t> </w:t>
            </w:r>
            <w:r>
              <w:rPr>
                <w:sz w:val="24"/>
              </w:rPr>
              <w:t>Circular</w:t>
            </w:r>
            <w:r>
              <w:rPr>
                <w:spacing w:val="-8"/>
                <w:sz w:val="24"/>
              </w:rPr>
              <w:t> </w:t>
            </w:r>
            <w:r>
              <w:rPr>
                <w:sz w:val="24"/>
              </w:rPr>
              <w:t>No.</w:t>
            </w:r>
            <w:r>
              <w:rPr>
                <w:spacing w:val="-8"/>
                <w:sz w:val="24"/>
              </w:rPr>
              <w:t> </w:t>
            </w:r>
            <w:r>
              <w:rPr>
                <w:sz w:val="24"/>
              </w:rPr>
              <w:t>A-136,</w:t>
            </w:r>
            <w:r>
              <w:rPr>
                <w:spacing w:val="-9"/>
                <w:sz w:val="24"/>
              </w:rPr>
              <w:t> </w:t>
            </w:r>
            <w:r>
              <w:rPr>
                <w:sz w:val="24"/>
              </w:rPr>
              <w:t>Financial</w:t>
            </w:r>
            <w:r>
              <w:rPr>
                <w:spacing w:val="-8"/>
                <w:sz w:val="24"/>
              </w:rPr>
              <w:t> </w:t>
            </w:r>
            <w:r>
              <w:rPr>
                <w:sz w:val="24"/>
              </w:rPr>
              <w:t>Reporting </w:t>
            </w:r>
            <w:r>
              <w:rPr>
                <w:spacing w:val="-2"/>
                <w:sz w:val="24"/>
              </w:rPr>
              <w:t>Requirements.</w:t>
            </w:r>
          </w:p>
        </w:tc>
      </w:tr>
    </w:tbl>
    <w:p>
      <w:pPr>
        <w:spacing w:after="0" w:line="250" w:lineRule="exact"/>
        <w:jc w:val="left"/>
        <w:rPr>
          <w:sz w:val="24"/>
        </w:rPr>
        <w:sectPr>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980" w:hRule="atLeast"/>
        </w:trPr>
        <w:tc>
          <w:tcPr>
            <w:tcW w:w="1525" w:type="dxa"/>
            <w:vMerge w:val="restart"/>
          </w:tcPr>
          <w:p>
            <w:pPr>
              <w:pStyle w:val="TableParagraph"/>
              <w:spacing w:line="244" w:lineRule="exact"/>
              <w:ind w:left="107"/>
              <w:rPr>
                <w:sz w:val="24"/>
              </w:rPr>
            </w:pPr>
            <w:r>
              <w:rPr>
                <w:spacing w:val="-4"/>
                <w:sz w:val="24"/>
              </w:rPr>
              <w:t>1.3.2</w:t>
            </w:r>
          </w:p>
        </w:tc>
        <w:tc>
          <w:tcPr>
            <w:tcW w:w="1761" w:type="dxa"/>
            <w:vMerge w:val="restart"/>
          </w:tcPr>
          <w:p>
            <w:pPr>
              <w:pStyle w:val="TableParagraph"/>
              <w:spacing w:line="216" w:lineRule="auto"/>
              <w:ind w:left="108" w:right="185"/>
              <w:rPr>
                <w:sz w:val="24"/>
              </w:rPr>
            </w:pPr>
            <w:r>
              <w:rPr>
                <w:spacing w:val="-2"/>
                <w:sz w:val="24"/>
              </w:rPr>
              <w:t>Making Federal Financial Information Accessible</w:t>
            </w:r>
          </w:p>
        </w:tc>
        <w:tc>
          <w:tcPr>
            <w:tcW w:w="1984" w:type="dxa"/>
          </w:tcPr>
          <w:p>
            <w:pPr>
              <w:pStyle w:val="TableParagraph"/>
              <w:spacing w:line="244" w:lineRule="exact"/>
              <w:ind w:left="107"/>
              <w:rPr>
                <w:sz w:val="24"/>
              </w:rPr>
            </w:pPr>
            <w:r>
              <w:rPr>
                <w:spacing w:val="-2"/>
                <w:sz w:val="24"/>
              </w:rPr>
              <w:t>1.3.2.1</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145"/>
              <w:rPr>
                <w:sz w:val="24"/>
              </w:rPr>
            </w:pPr>
            <w:r>
              <w:rPr>
                <w:sz w:val="24"/>
              </w:rPr>
              <w:t>By implementing technical standards and requirements specified in the Code of Federal Regulations (CFR), provide access to federal financial information</w:t>
            </w:r>
            <w:r>
              <w:rPr>
                <w:spacing w:val="-14"/>
                <w:sz w:val="24"/>
              </w:rPr>
              <w:t> </w:t>
            </w:r>
            <w:r>
              <w:rPr>
                <w:sz w:val="24"/>
              </w:rPr>
              <w:t>to</w:t>
            </w:r>
            <w:r>
              <w:rPr>
                <w:spacing w:val="-14"/>
                <w:sz w:val="24"/>
              </w:rPr>
              <w:t> </w:t>
            </w:r>
            <w:r>
              <w:rPr>
                <w:sz w:val="24"/>
              </w:rPr>
              <w:t>federal</w:t>
            </w:r>
            <w:r>
              <w:rPr>
                <w:spacing w:val="-14"/>
                <w:sz w:val="24"/>
              </w:rPr>
              <w:t> </w:t>
            </w:r>
            <w:r>
              <w:rPr>
                <w:sz w:val="24"/>
              </w:rPr>
              <w:t>employees and members of the public with disabilities comparable to that provided to federal employees and members of the public who are not individuals with</w:t>
            </w:r>
          </w:p>
          <w:p>
            <w:pPr>
              <w:pStyle w:val="TableParagraph"/>
              <w:spacing w:line="238" w:lineRule="exact"/>
              <w:ind w:left="110"/>
              <w:rPr>
                <w:sz w:val="24"/>
              </w:rPr>
            </w:pPr>
            <w:r>
              <w:rPr>
                <w:spacing w:val="-2"/>
                <w:sz w:val="24"/>
              </w:rPr>
              <w:t>disabilities.</w:t>
            </w:r>
          </w:p>
        </w:tc>
        <w:tc>
          <w:tcPr>
            <w:tcW w:w="6628" w:type="dxa"/>
          </w:tcPr>
          <w:p>
            <w:pPr>
              <w:pStyle w:val="TableParagraph"/>
              <w:numPr>
                <w:ilvl w:val="0"/>
                <w:numId w:val="26"/>
              </w:numPr>
              <w:tabs>
                <w:tab w:pos="328" w:val="left" w:leader="none"/>
              </w:tabs>
              <w:spacing w:line="216" w:lineRule="auto" w:before="0" w:after="0"/>
              <w:ind w:left="327" w:right="230" w:hanging="216"/>
              <w:jc w:val="left"/>
              <w:rPr>
                <w:sz w:val="24"/>
              </w:rPr>
            </w:pPr>
            <w:hyperlink r:id="rId49">
              <w:r>
                <w:rPr>
                  <w:color w:val="0000FF"/>
                  <w:sz w:val="24"/>
                </w:rPr>
                <w:t>36 CFR 1194</w:t>
              </w:r>
            </w:hyperlink>
            <w:r>
              <w:rPr>
                <w:sz w:val="24"/>
              </w:rPr>
              <w:t>, Electronic and Information Technology Accessibility</w:t>
            </w:r>
            <w:r>
              <w:rPr>
                <w:spacing w:val="-8"/>
                <w:sz w:val="24"/>
              </w:rPr>
              <w:t> </w:t>
            </w:r>
            <w:r>
              <w:rPr>
                <w:sz w:val="24"/>
              </w:rPr>
              <w:t>Standards,</w:t>
            </w:r>
            <w:r>
              <w:rPr>
                <w:spacing w:val="-7"/>
                <w:sz w:val="24"/>
              </w:rPr>
              <w:t> </w:t>
            </w:r>
            <w:r>
              <w:rPr>
                <w:sz w:val="24"/>
              </w:rPr>
              <w:t>Subpart</w:t>
            </w:r>
            <w:r>
              <w:rPr>
                <w:spacing w:val="-9"/>
                <w:sz w:val="24"/>
              </w:rPr>
              <w:t> </w:t>
            </w:r>
            <w:r>
              <w:rPr>
                <w:sz w:val="24"/>
              </w:rPr>
              <w:t>B,</w:t>
            </w:r>
            <w:r>
              <w:rPr>
                <w:spacing w:val="-7"/>
                <w:sz w:val="24"/>
              </w:rPr>
              <w:t> </w:t>
            </w:r>
            <w:r>
              <w:rPr>
                <w:sz w:val="24"/>
              </w:rPr>
              <w:t>Technical</w:t>
            </w:r>
            <w:r>
              <w:rPr>
                <w:spacing w:val="-6"/>
                <w:sz w:val="24"/>
              </w:rPr>
              <w:t> </w:t>
            </w:r>
            <w:r>
              <w:rPr>
                <w:sz w:val="24"/>
              </w:rPr>
              <w:t>Standards.</w:t>
            </w:r>
          </w:p>
        </w:tc>
      </w:tr>
      <w:tr>
        <w:trPr>
          <w:trHeight w:val="2235"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5" w:lineRule="exact"/>
              <w:ind w:left="107"/>
              <w:rPr>
                <w:sz w:val="24"/>
              </w:rPr>
            </w:pPr>
            <w:r>
              <w:rPr>
                <w:spacing w:val="-2"/>
                <w:sz w:val="24"/>
              </w:rPr>
              <w:t>1.3.2.2</w:t>
            </w:r>
          </w:p>
        </w:tc>
        <w:tc>
          <w:tcPr>
            <w:tcW w:w="1534" w:type="dxa"/>
          </w:tcPr>
          <w:p>
            <w:pPr>
              <w:pStyle w:val="TableParagraph"/>
              <w:spacing w:line="245" w:lineRule="exact"/>
              <w:ind w:left="109"/>
              <w:rPr>
                <w:sz w:val="24"/>
              </w:rPr>
            </w:pPr>
            <w:r>
              <w:rPr>
                <w:sz w:val="24"/>
              </w:rPr>
              <w:t>P</w:t>
            </w:r>
          </w:p>
        </w:tc>
        <w:tc>
          <w:tcPr>
            <w:tcW w:w="3834" w:type="dxa"/>
          </w:tcPr>
          <w:p>
            <w:pPr>
              <w:pStyle w:val="TableParagraph"/>
              <w:spacing w:line="216" w:lineRule="auto"/>
              <w:ind w:left="110" w:right="145"/>
              <w:rPr>
                <w:sz w:val="24"/>
              </w:rPr>
            </w:pPr>
            <w:r>
              <w:rPr>
                <w:sz w:val="24"/>
              </w:rPr>
              <w:t>Provide federal financial information of official record, in accordance with published rules and</w:t>
            </w:r>
            <w:r>
              <w:rPr>
                <w:spacing w:val="-10"/>
                <w:sz w:val="24"/>
              </w:rPr>
              <w:t> </w:t>
            </w:r>
            <w:r>
              <w:rPr>
                <w:sz w:val="24"/>
              </w:rPr>
              <w:t>consistent</w:t>
            </w:r>
            <w:r>
              <w:rPr>
                <w:spacing w:val="-10"/>
                <w:sz w:val="24"/>
              </w:rPr>
              <w:t> </w:t>
            </w:r>
            <w:r>
              <w:rPr>
                <w:sz w:val="24"/>
              </w:rPr>
              <w:t>with</w:t>
            </w:r>
            <w:r>
              <w:rPr>
                <w:spacing w:val="-10"/>
                <w:sz w:val="24"/>
              </w:rPr>
              <w:t> </w:t>
            </w:r>
            <w:r>
              <w:rPr>
                <w:sz w:val="24"/>
              </w:rPr>
              <w:t>OMB</w:t>
            </w:r>
            <w:r>
              <w:rPr>
                <w:spacing w:val="-10"/>
                <w:sz w:val="24"/>
              </w:rPr>
              <w:t> </w:t>
            </w:r>
            <w:r>
              <w:rPr>
                <w:sz w:val="24"/>
              </w:rPr>
              <w:t>Circular No. A-130 and the FASAB Handbook, to persons properly and directly concerned, except</w:t>
            </w:r>
          </w:p>
          <w:p>
            <w:pPr>
              <w:pStyle w:val="TableParagraph"/>
              <w:spacing w:line="248" w:lineRule="exact"/>
              <w:ind w:left="110" w:right="145"/>
              <w:rPr>
                <w:sz w:val="24"/>
              </w:rPr>
            </w:pPr>
            <w:r>
              <w:rPr>
                <w:sz w:val="24"/>
              </w:rPr>
              <w:t>financial information held confidential</w:t>
            </w:r>
            <w:r>
              <w:rPr>
                <w:spacing w:val="-13"/>
                <w:sz w:val="24"/>
              </w:rPr>
              <w:t> </w:t>
            </w:r>
            <w:r>
              <w:rPr>
                <w:sz w:val="24"/>
              </w:rPr>
              <w:t>for</w:t>
            </w:r>
            <w:r>
              <w:rPr>
                <w:spacing w:val="-14"/>
                <w:sz w:val="24"/>
              </w:rPr>
              <w:t> </w:t>
            </w:r>
            <w:r>
              <w:rPr>
                <w:sz w:val="24"/>
              </w:rPr>
              <w:t>good</w:t>
            </w:r>
            <w:r>
              <w:rPr>
                <w:spacing w:val="-14"/>
                <w:sz w:val="24"/>
              </w:rPr>
              <w:t> </w:t>
            </w:r>
            <w:r>
              <w:rPr>
                <w:sz w:val="24"/>
              </w:rPr>
              <w:t>cause.</w:t>
            </w:r>
          </w:p>
        </w:tc>
        <w:tc>
          <w:tcPr>
            <w:tcW w:w="6628" w:type="dxa"/>
          </w:tcPr>
          <w:p>
            <w:pPr>
              <w:pStyle w:val="TableParagraph"/>
              <w:numPr>
                <w:ilvl w:val="0"/>
                <w:numId w:val="27"/>
              </w:numPr>
              <w:tabs>
                <w:tab w:pos="328" w:val="left" w:leader="none"/>
              </w:tabs>
              <w:spacing w:line="216" w:lineRule="auto" w:before="0" w:after="0"/>
              <w:ind w:left="327" w:right="725" w:hanging="216"/>
              <w:jc w:val="left"/>
              <w:rPr>
                <w:sz w:val="24"/>
              </w:rPr>
            </w:pPr>
            <w:hyperlink r:id="rId41">
              <w:r>
                <w:rPr>
                  <w:color w:val="0000FF"/>
                  <w:sz w:val="24"/>
                </w:rPr>
                <w:t>OMB</w:t>
              </w:r>
            </w:hyperlink>
            <w:r>
              <w:rPr>
                <w:color w:val="0000FF"/>
                <w:spacing w:val="-6"/>
                <w:sz w:val="24"/>
              </w:rPr>
              <w:t> </w:t>
            </w:r>
            <w:r>
              <w:rPr>
                <w:sz w:val="24"/>
              </w:rPr>
              <w:t>Circular</w:t>
            </w:r>
            <w:r>
              <w:rPr>
                <w:spacing w:val="-5"/>
                <w:sz w:val="24"/>
              </w:rPr>
              <w:t> </w:t>
            </w:r>
            <w:r>
              <w:rPr>
                <w:sz w:val="24"/>
              </w:rPr>
              <w:t>No.</w:t>
            </w:r>
            <w:r>
              <w:rPr>
                <w:spacing w:val="-5"/>
                <w:sz w:val="24"/>
              </w:rPr>
              <w:t> </w:t>
            </w:r>
            <w:r>
              <w:rPr>
                <w:sz w:val="24"/>
              </w:rPr>
              <w:t>A-130,</w:t>
            </w:r>
            <w:r>
              <w:rPr>
                <w:spacing w:val="-6"/>
                <w:sz w:val="24"/>
              </w:rPr>
              <w:t> </w:t>
            </w:r>
            <w:r>
              <w:rPr>
                <w:sz w:val="24"/>
              </w:rPr>
              <w:t>Managing</w:t>
            </w:r>
            <w:r>
              <w:rPr>
                <w:spacing w:val="-6"/>
                <w:sz w:val="24"/>
              </w:rPr>
              <w:t> </w:t>
            </w:r>
            <w:r>
              <w:rPr>
                <w:sz w:val="24"/>
              </w:rPr>
              <w:t>Information</w:t>
            </w:r>
            <w:r>
              <w:rPr>
                <w:spacing w:val="-6"/>
                <w:sz w:val="24"/>
              </w:rPr>
              <w:t> </w:t>
            </w:r>
            <w:r>
              <w:rPr>
                <w:sz w:val="24"/>
              </w:rPr>
              <w:t>as</w:t>
            </w:r>
            <w:r>
              <w:rPr>
                <w:spacing w:val="-6"/>
                <w:sz w:val="24"/>
              </w:rPr>
              <w:t> </w:t>
            </w:r>
            <w:r>
              <w:rPr>
                <w:sz w:val="24"/>
              </w:rPr>
              <w:t>a Strategic Resource, Part 5.e., Policy, Information Management and Access;</w:t>
            </w:r>
          </w:p>
          <w:p>
            <w:pPr>
              <w:pStyle w:val="TableParagraph"/>
              <w:numPr>
                <w:ilvl w:val="0"/>
                <w:numId w:val="27"/>
              </w:numPr>
              <w:tabs>
                <w:tab w:pos="328" w:val="left" w:leader="none"/>
              </w:tabs>
              <w:spacing w:line="269" w:lineRule="exact" w:before="0" w:after="0"/>
              <w:ind w:left="327" w:right="0" w:hanging="217"/>
              <w:jc w:val="left"/>
              <w:rPr>
                <w:sz w:val="24"/>
              </w:rPr>
            </w:pPr>
            <w:hyperlink r:id="rId47">
              <w:r>
                <w:rPr>
                  <w:color w:val="0000FF"/>
                  <w:sz w:val="24"/>
                </w:rPr>
                <w:t>SFFAS</w:t>
              </w:r>
              <w:r>
                <w:rPr>
                  <w:color w:val="0000FF"/>
                  <w:spacing w:val="-4"/>
                  <w:sz w:val="24"/>
                </w:rPr>
                <w:t> </w:t>
              </w:r>
              <w:r>
                <w:rPr>
                  <w:color w:val="0000FF"/>
                  <w:sz w:val="24"/>
                </w:rPr>
                <w:t>56</w:t>
              </w:r>
            </w:hyperlink>
            <w:r>
              <w:rPr>
                <w:sz w:val="24"/>
              </w:rPr>
              <w:t>:</w:t>
            </w:r>
            <w:r>
              <w:rPr>
                <w:spacing w:val="-3"/>
                <w:sz w:val="24"/>
              </w:rPr>
              <w:t> </w:t>
            </w:r>
            <w:r>
              <w:rPr>
                <w:sz w:val="24"/>
              </w:rPr>
              <w:t>Classified</w:t>
            </w:r>
            <w:r>
              <w:rPr>
                <w:spacing w:val="-2"/>
                <w:sz w:val="24"/>
              </w:rPr>
              <w:t> Activities.</w:t>
            </w:r>
          </w:p>
        </w:tc>
      </w:tr>
      <w:tr>
        <w:trPr>
          <w:trHeight w:val="1739"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5" w:lineRule="exact"/>
              <w:ind w:left="107"/>
              <w:rPr>
                <w:sz w:val="24"/>
              </w:rPr>
            </w:pPr>
            <w:r>
              <w:rPr>
                <w:spacing w:val="-2"/>
                <w:sz w:val="24"/>
              </w:rPr>
              <w:t>1.3.2.3</w:t>
            </w:r>
          </w:p>
        </w:tc>
        <w:tc>
          <w:tcPr>
            <w:tcW w:w="1534" w:type="dxa"/>
          </w:tcPr>
          <w:p>
            <w:pPr>
              <w:pStyle w:val="TableParagraph"/>
              <w:spacing w:line="245" w:lineRule="exact"/>
              <w:ind w:left="109"/>
              <w:rPr>
                <w:sz w:val="24"/>
              </w:rPr>
            </w:pPr>
            <w:r>
              <w:rPr>
                <w:sz w:val="24"/>
              </w:rPr>
              <w:t>P</w:t>
            </w:r>
          </w:p>
        </w:tc>
        <w:tc>
          <w:tcPr>
            <w:tcW w:w="3834" w:type="dxa"/>
          </w:tcPr>
          <w:p>
            <w:pPr>
              <w:pStyle w:val="TableParagraph"/>
              <w:spacing w:line="216" w:lineRule="auto"/>
              <w:ind w:left="110" w:right="145"/>
              <w:rPr>
                <w:sz w:val="24"/>
              </w:rPr>
            </w:pPr>
            <w:r>
              <w:rPr>
                <w:sz w:val="24"/>
              </w:rPr>
              <w:t>Provide and monitor controls for receiving,</w:t>
            </w:r>
            <w:r>
              <w:rPr>
                <w:spacing w:val="-13"/>
                <w:sz w:val="24"/>
              </w:rPr>
              <w:t> </w:t>
            </w:r>
            <w:r>
              <w:rPr>
                <w:sz w:val="24"/>
              </w:rPr>
              <w:t>reviewing</w:t>
            </w:r>
            <w:r>
              <w:rPr>
                <w:spacing w:val="-13"/>
                <w:sz w:val="24"/>
              </w:rPr>
              <w:t> </w:t>
            </w:r>
            <w:r>
              <w:rPr>
                <w:sz w:val="24"/>
              </w:rPr>
              <w:t>requests</w:t>
            </w:r>
            <w:r>
              <w:rPr>
                <w:spacing w:val="-13"/>
                <w:sz w:val="24"/>
              </w:rPr>
              <w:t> </w:t>
            </w:r>
            <w:r>
              <w:rPr>
                <w:sz w:val="24"/>
              </w:rPr>
              <w:t>for, and releasing personally identifiable federal financial information compliant with the</w:t>
            </w:r>
          </w:p>
          <w:p>
            <w:pPr>
              <w:pStyle w:val="TableParagraph"/>
              <w:spacing w:line="248" w:lineRule="exact"/>
              <w:ind w:left="110" w:right="145"/>
              <w:rPr>
                <w:sz w:val="24"/>
              </w:rPr>
            </w:pPr>
            <w:r>
              <w:rPr>
                <w:sz w:val="24"/>
              </w:rPr>
              <w:t>Privacy</w:t>
            </w:r>
            <w:r>
              <w:rPr>
                <w:spacing w:val="-10"/>
                <w:sz w:val="24"/>
              </w:rPr>
              <w:t> </w:t>
            </w:r>
            <w:r>
              <w:rPr>
                <w:sz w:val="24"/>
              </w:rPr>
              <w:t>Act</w:t>
            </w:r>
            <w:r>
              <w:rPr>
                <w:spacing w:val="-9"/>
                <w:sz w:val="24"/>
              </w:rPr>
              <w:t> </w:t>
            </w:r>
            <w:r>
              <w:rPr>
                <w:sz w:val="24"/>
              </w:rPr>
              <w:t>and</w:t>
            </w:r>
            <w:r>
              <w:rPr>
                <w:spacing w:val="-10"/>
                <w:sz w:val="24"/>
              </w:rPr>
              <w:t> </w:t>
            </w:r>
            <w:r>
              <w:rPr>
                <w:sz w:val="24"/>
              </w:rPr>
              <w:t>consistent</w:t>
            </w:r>
            <w:r>
              <w:rPr>
                <w:spacing w:val="-10"/>
                <w:sz w:val="24"/>
              </w:rPr>
              <w:t> </w:t>
            </w:r>
            <w:r>
              <w:rPr>
                <w:sz w:val="24"/>
              </w:rPr>
              <w:t>with OMB Circular No. A-130.</w:t>
            </w:r>
          </w:p>
        </w:tc>
        <w:tc>
          <w:tcPr>
            <w:tcW w:w="6628" w:type="dxa"/>
          </w:tcPr>
          <w:p>
            <w:pPr>
              <w:pStyle w:val="TableParagraph"/>
              <w:numPr>
                <w:ilvl w:val="0"/>
                <w:numId w:val="28"/>
              </w:numPr>
              <w:tabs>
                <w:tab w:pos="328" w:val="left" w:leader="none"/>
              </w:tabs>
              <w:spacing w:line="216" w:lineRule="auto" w:before="0" w:after="0"/>
              <w:ind w:left="327" w:right="725" w:hanging="216"/>
              <w:jc w:val="left"/>
              <w:rPr>
                <w:sz w:val="24"/>
              </w:rPr>
            </w:pPr>
            <w:hyperlink r:id="rId41">
              <w:r>
                <w:rPr>
                  <w:color w:val="0000FF"/>
                  <w:sz w:val="24"/>
                </w:rPr>
                <w:t>OMB</w:t>
              </w:r>
            </w:hyperlink>
            <w:r>
              <w:rPr>
                <w:color w:val="0000FF"/>
                <w:spacing w:val="-6"/>
                <w:sz w:val="24"/>
              </w:rPr>
              <w:t> </w:t>
            </w:r>
            <w:r>
              <w:rPr>
                <w:sz w:val="24"/>
              </w:rPr>
              <w:t>Circular</w:t>
            </w:r>
            <w:r>
              <w:rPr>
                <w:spacing w:val="-5"/>
                <w:sz w:val="24"/>
              </w:rPr>
              <w:t> </w:t>
            </w:r>
            <w:r>
              <w:rPr>
                <w:sz w:val="24"/>
              </w:rPr>
              <w:t>No.</w:t>
            </w:r>
            <w:r>
              <w:rPr>
                <w:spacing w:val="-5"/>
                <w:sz w:val="24"/>
              </w:rPr>
              <w:t> </w:t>
            </w:r>
            <w:r>
              <w:rPr>
                <w:sz w:val="24"/>
              </w:rPr>
              <w:t>A-130,</w:t>
            </w:r>
            <w:r>
              <w:rPr>
                <w:spacing w:val="-6"/>
                <w:sz w:val="24"/>
              </w:rPr>
              <w:t> </w:t>
            </w:r>
            <w:r>
              <w:rPr>
                <w:sz w:val="24"/>
              </w:rPr>
              <w:t>Managing</w:t>
            </w:r>
            <w:r>
              <w:rPr>
                <w:spacing w:val="-6"/>
                <w:sz w:val="24"/>
              </w:rPr>
              <w:t> </w:t>
            </w:r>
            <w:r>
              <w:rPr>
                <w:sz w:val="24"/>
              </w:rPr>
              <w:t>Information</w:t>
            </w:r>
            <w:r>
              <w:rPr>
                <w:spacing w:val="-6"/>
                <w:sz w:val="24"/>
              </w:rPr>
              <w:t> </w:t>
            </w:r>
            <w:r>
              <w:rPr>
                <w:sz w:val="24"/>
              </w:rPr>
              <w:t>as</w:t>
            </w:r>
            <w:r>
              <w:rPr>
                <w:spacing w:val="-6"/>
                <w:sz w:val="24"/>
              </w:rPr>
              <w:t> </w:t>
            </w:r>
            <w:r>
              <w:rPr>
                <w:sz w:val="24"/>
              </w:rPr>
              <w:t>a Strategic Resource, Part 5.e., Policy, Information Management and Access;</w:t>
            </w:r>
          </w:p>
          <w:p>
            <w:pPr>
              <w:pStyle w:val="TableParagraph"/>
              <w:numPr>
                <w:ilvl w:val="0"/>
                <w:numId w:val="28"/>
              </w:numPr>
              <w:tabs>
                <w:tab w:pos="328" w:val="left" w:leader="none"/>
              </w:tabs>
              <w:spacing w:line="216" w:lineRule="auto" w:before="0" w:after="0"/>
              <w:ind w:left="327" w:right="725" w:hanging="216"/>
              <w:jc w:val="both"/>
              <w:rPr>
                <w:sz w:val="24"/>
              </w:rPr>
            </w:pPr>
            <w:hyperlink r:id="rId41">
              <w:r>
                <w:rPr>
                  <w:color w:val="0000FF"/>
                  <w:sz w:val="24"/>
                </w:rPr>
                <w:t>OMB</w:t>
              </w:r>
            </w:hyperlink>
            <w:r>
              <w:rPr>
                <w:color w:val="0000FF"/>
                <w:spacing w:val="-6"/>
                <w:sz w:val="24"/>
              </w:rPr>
              <w:t> </w:t>
            </w:r>
            <w:r>
              <w:rPr>
                <w:sz w:val="24"/>
              </w:rPr>
              <w:t>Circular</w:t>
            </w:r>
            <w:r>
              <w:rPr>
                <w:spacing w:val="-5"/>
                <w:sz w:val="24"/>
              </w:rPr>
              <w:t> </w:t>
            </w:r>
            <w:r>
              <w:rPr>
                <w:sz w:val="24"/>
              </w:rPr>
              <w:t>No.</w:t>
            </w:r>
            <w:r>
              <w:rPr>
                <w:spacing w:val="-5"/>
                <w:sz w:val="24"/>
              </w:rPr>
              <w:t> </w:t>
            </w:r>
            <w:r>
              <w:rPr>
                <w:sz w:val="24"/>
              </w:rPr>
              <w:t>A-130,</w:t>
            </w:r>
            <w:r>
              <w:rPr>
                <w:spacing w:val="-6"/>
                <w:sz w:val="24"/>
              </w:rPr>
              <w:t> </w:t>
            </w:r>
            <w:r>
              <w:rPr>
                <w:sz w:val="24"/>
              </w:rPr>
              <w:t>Managing</w:t>
            </w:r>
            <w:r>
              <w:rPr>
                <w:spacing w:val="-6"/>
                <w:sz w:val="24"/>
              </w:rPr>
              <w:t> </w:t>
            </w:r>
            <w:r>
              <w:rPr>
                <w:sz w:val="24"/>
              </w:rPr>
              <w:t>Information</w:t>
            </w:r>
            <w:r>
              <w:rPr>
                <w:spacing w:val="-6"/>
                <w:sz w:val="24"/>
              </w:rPr>
              <w:t> </w:t>
            </w:r>
            <w:r>
              <w:rPr>
                <w:sz w:val="24"/>
              </w:rPr>
              <w:t>as</w:t>
            </w:r>
            <w:r>
              <w:rPr>
                <w:spacing w:val="-6"/>
                <w:sz w:val="24"/>
              </w:rPr>
              <w:t> </w:t>
            </w:r>
            <w:r>
              <w:rPr>
                <w:sz w:val="24"/>
              </w:rPr>
              <w:t>a Strategic Resource, Appendix II,</w:t>
            </w:r>
            <w:r>
              <w:rPr>
                <w:spacing w:val="-1"/>
                <w:sz w:val="24"/>
              </w:rPr>
              <w:t> </w:t>
            </w:r>
            <w:r>
              <w:rPr>
                <w:sz w:val="24"/>
              </w:rPr>
              <w:t>Responsibilities for Managing Personally Identifiable</w:t>
            </w:r>
            <w:r>
              <w:rPr>
                <w:spacing w:val="-4"/>
                <w:sz w:val="24"/>
              </w:rPr>
              <w:t> </w:t>
            </w:r>
            <w:r>
              <w:rPr>
                <w:sz w:val="24"/>
              </w:rPr>
              <w:t>Information.</w:t>
            </w:r>
          </w:p>
        </w:tc>
      </w:tr>
    </w:tbl>
    <w:p>
      <w:pPr>
        <w:spacing w:after="0" w:line="216" w:lineRule="auto"/>
        <w:jc w:val="both"/>
        <w:rPr>
          <w:sz w:val="24"/>
        </w:rPr>
        <w:sectPr>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7101" w:hRule="atLeast"/>
        </w:trPr>
        <w:tc>
          <w:tcPr>
            <w:tcW w:w="1525" w:type="dxa"/>
          </w:tcPr>
          <w:p>
            <w:pPr>
              <w:pStyle w:val="TableParagraph"/>
              <w:spacing w:line="244" w:lineRule="exact"/>
              <w:ind w:left="107"/>
              <w:rPr>
                <w:sz w:val="24"/>
              </w:rPr>
            </w:pPr>
            <w:r>
              <w:rPr>
                <w:spacing w:val="-4"/>
                <w:sz w:val="24"/>
              </w:rPr>
              <w:t>1.4.1</w:t>
            </w:r>
          </w:p>
        </w:tc>
        <w:tc>
          <w:tcPr>
            <w:tcW w:w="1761" w:type="dxa"/>
          </w:tcPr>
          <w:p>
            <w:pPr>
              <w:pStyle w:val="TableParagraph"/>
              <w:spacing w:line="216" w:lineRule="auto"/>
              <w:ind w:left="107" w:right="197"/>
              <w:rPr>
                <w:sz w:val="24"/>
              </w:rPr>
            </w:pPr>
            <w:r>
              <w:rPr>
                <w:spacing w:val="-2"/>
                <w:sz w:val="24"/>
              </w:rPr>
              <w:t>Defining Federal Funding </w:t>
            </w:r>
            <w:r>
              <w:rPr>
                <w:sz w:val="24"/>
              </w:rPr>
              <w:t>Attributes to </w:t>
            </w:r>
            <w:r>
              <w:rPr>
                <w:spacing w:val="-2"/>
                <w:sz w:val="24"/>
              </w:rPr>
              <w:t>Align Financial Management Information </w:t>
            </w:r>
            <w:r>
              <w:rPr>
                <w:spacing w:val="-4"/>
                <w:sz w:val="24"/>
              </w:rPr>
              <w:t>with </w:t>
            </w:r>
            <w:r>
              <w:rPr>
                <w:spacing w:val="-2"/>
                <w:sz w:val="24"/>
              </w:rPr>
              <w:t>Performance Goals</w:t>
            </w:r>
          </w:p>
        </w:tc>
        <w:tc>
          <w:tcPr>
            <w:tcW w:w="1984" w:type="dxa"/>
          </w:tcPr>
          <w:p>
            <w:pPr>
              <w:pStyle w:val="TableParagraph"/>
              <w:spacing w:line="244" w:lineRule="exact"/>
              <w:ind w:left="107"/>
              <w:rPr>
                <w:sz w:val="24"/>
              </w:rPr>
            </w:pPr>
            <w:r>
              <w:rPr>
                <w:spacing w:val="-2"/>
                <w:sz w:val="24"/>
              </w:rPr>
              <w:t>1.4.1.1</w:t>
            </w:r>
          </w:p>
        </w:tc>
        <w:tc>
          <w:tcPr>
            <w:tcW w:w="1534" w:type="dxa"/>
          </w:tcPr>
          <w:p>
            <w:pPr>
              <w:pStyle w:val="TableParagraph"/>
              <w:spacing w:line="244" w:lineRule="exact"/>
              <w:ind w:left="109"/>
              <w:rPr>
                <w:sz w:val="24"/>
              </w:rPr>
            </w:pPr>
            <w:r>
              <w:rPr>
                <w:spacing w:val="-5"/>
                <w:sz w:val="24"/>
              </w:rPr>
              <w:t>DI</w:t>
            </w:r>
          </w:p>
        </w:tc>
        <w:tc>
          <w:tcPr>
            <w:tcW w:w="3834" w:type="dxa"/>
          </w:tcPr>
          <w:p>
            <w:pPr>
              <w:pStyle w:val="TableParagraph"/>
              <w:spacing w:line="216" w:lineRule="auto"/>
              <w:ind w:left="110" w:right="123"/>
              <w:rPr>
                <w:sz w:val="24"/>
              </w:rPr>
            </w:pPr>
            <w:r>
              <w:rPr>
                <w:sz w:val="24"/>
              </w:rPr>
              <w:t>Provide federal funding attributes (for example, program, activity, and</w:t>
            </w:r>
            <w:r>
              <w:rPr>
                <w:spacing w:val="-8"/>
                <w:sz w:val="24"/>
              </w:rPr>
              <w:t> </w:t>
            </w:r>
            <w:r>
              <w:rPr>
                <w:sz w:val="24"/>
              </w:rPr>
              <w:t>cost</w:t>
            </w:r>
            <w:r>
              <w:rPr>
                <w:spacing w:val="-7"/>
                <w:sz w:val="24"/>
              </w:rPr>
              <w:t> </w:t>
            </w:r>
            <w:r>
              <w:rPr>
                <w:sz w:val="24"/>
              </w:rPr>
              <w:t>object)</w:t>
            </w:r>
            <w:r>
              <w:rPr>
                <w:spacing w:val="-7"/>
                <w:sz w:val="24"/>
              </w:rPr>
              <w:t> </w:t>
            </w:r>
            <w:r>
              <w:rPr>
                <w:sz w:val="24"/>
              </w:rPr>
              <w:t>that</w:t>
            </w:r>
            <w:r>
              <w:rPr>
                <w:spacing w:val="-9"/>
                <w:sz w:val="24"/>
              </w:rPr>
              <w:t> </w:t>
            </w:r>
            <w:r>
              <w:rPr>
                <w:sz w:val="24"/>
              </w:rPr>
              <w:t>align</w:t>
            </w:r>
            <w:r>
              <w:rPr>
                <w:spacing w:val="-8"/>
                <w:sz w:val="24"/>
              </w:rPr>
              <w:t> </w:t>
            </w:r>
            <w:r>
              <w:rPr>
                <w:sz w:val="24"/>
              </w:rPr>
              <w:t>funding requests, funding allocations, fund obligations, fund expenditures, and costs with agency performance goals, as required by the Chief Financial Officer (CFO Act) as well as the Government Performance and Results Act and consistent with the FASAB Handbook, OMB Circular No. A-11, and OMB Circular No. A-136.</w:t>
            </w:r>
          </w:p>
        </w:tc>
        <w:tc>
          <w:tcPr>
            <w:tcW w:w="6628" w:type="dxa"/>
          </w:tcPr>
          <w:p>
            <w:pPr>
              <w:pStyle w:val="TableParagraph"/>
              <w:numPr>
                <w:ilvl w:val="0"/>
                <w:numId w:val="29"/>
              </w:numPr>
              <w:tabs>
                <w:tab w:pos="328" w:val="left" w:leader="none"/>
              </w:tabs>
              <w:spacing w:line="216" w:lineRule="auto" w:before="0" w:after="0"/>
              <w:ind w:left="327" w:right="621" w:hanging="216"/>
              <w:jc w:val="left"/>
              <w:rPr>
                <w:sz w:val="24"/>
              </w:rPr>
            </w:pPr>
            <w:hyperlink r:id="rId41">
              <w:r>
                <w:rPr>
                  <w:color w:val="0000FF"/>
                  <w:sz w:val="24"/>
                </w:rPr>
                <w:t>OMB</w:t>
              </w:r>
            </w:hyperlink>
            <w:r>
              <w:rPr>
                <w:color w:val="0000FF"/>
                <w:spacing w:val="-7"/>
                <w:sz w:val="24"/>
              </w:rPr>
              <w:t> </w:t>
            </w:r>
            <w:r>
              <w:rPr>
                <w:sz w:val="24"/>
              </w:rPr>
              <w:t>Circular</w:t>
            </w:r>
            <w:r>
              <w:rPr>
                <w:spacing w:val="-6"/>
                <w:sz w:val="24"/>
              </w:rPr>
              <w:t> </w:t>
            </w:r>
            <w:r>
              <w:rPr>
                <w:sz w:val="24"/>
              </w:rPr>
              <w:t>No.</w:t>
            </w:r>
            <w:r>
              <w:rPr>
                <w:spacing w:val="-6"/>
                <w:sz w:val="24"/>
              </w:rPr>
              <w:t> </w:t>
            </w:r>
            <w:r>
              <w:rPr>
                <w:sz w:val="24"/>
              </w:rPr>
              <w:t>A-11,</w:t>
            </w:r>
            <w:r>
              <w:rPr>
                <w:spacing w:val="-7"/>
                <w:sz w:val="24"/>
              </w:rPr>
              <w:t> </w:t>
            </w:r>
            <w:r>
              <w:rPr>
                <w:sz w:val="24"/>
              </w:rPr>
              <w:t>Preparation,</w:t>
            </w:r>
            <w:r>
              <w:rPr>
                <w:spacing w:val="-7"/>
                <w:sz w:val="24"/>
              </w:rPr>
              <w:t> </w:t>
            </w:r>
            <w:r>
              <w:rPr>
                <w:sz w:val="24"/>
              </w:rPr>
              <w:t>Submission</w:t>
            </w:r>
            <w:r>
              <w:rPr>
                <w:spacing w:val="-7"/>
                <w:sz w:val="24"/>
              </w:rPr>
              <w:t> </w:t>
            </w:r>
            <w:r>
              <w:rPr>
                <w:sz w:val="24"/>
              </w:rPr>
              <w:t>and Execution of the Budget, Part 2, Preparation and Submission of Budget Estimates, Section 51, Basic Justification Materials;</w:t>
            </w:r>
          </w:p>
          <w:p>
            <w:pPr>
              <w:pStyle w:val="TableParagraph"/>
              <w:numPr>
                <w:ilvl w:val="0"/>
                <w:numId w:val="29"/>
              </w:numPr>
              <w:tabs>
                <w:tab w:pos="328" w:val="left" w:leader="none"/>
              </w:tabs>
              <w:spacing w:line="216" w:lineRule="auto" w:before="0" w:after="0"/>
              <w:ind w:left="327" w:right="231" w:hanging="216"/>
              <w:jc w:val="left"/>
              <w:rPr>
                <w:sz w:val="24"/>
              </w:rPr>
            </w:pPr>
            <w:hyperlink r:id="rId41">
              <w:r>
                <w:rPr>
                  <w:color w:val="0000FF"/>
                  <w:sz w:val="24"/>
                </w:rPr>
                <w:t>OMB</w:t>
              </w:r>
            </w:hyperlink>
            <w:r>
              <w:rPr>
                <w:color w:val="0000FF"/>
                <w:sz w:val="24"/>
              </w:rPr>
              <w:t> </w:t>
            </w:r>
            <w:r>
              <w:rPr>
                <w:sz w:val="24"/>
              </w:rPr>
              <w:t>Circular No. A-11, Preparation, Submission and Execution of the Budget, Part 2, Preparation and Submission</w:t>
            </w:r>
            <w:r>
              <w:rPr>
                <w:spacing w:val="-7"/>
                <w:sz w:val="24"/>
              </w:rPr>
              <w:t> </w:t>
            </w:r>
            <w:r>
              <w:rPr>
                <w:sz w:val="24"/>
              </w:rPr>
              <w:t>of</w:t>
            </w:r>
            <w:r>
              <w:rPr>
                <w:spacing w:val="-7"/>
                <w:sz w:val="24"/>
              </w:rPr>
              <w:t> </w:t>
            </w:r>
            <w:r>
              <w:rPr>
                <w:sz w:val="24"/>
              </w:rPr>
              <w:t>Budget</w:t>
            </w:r>
            <w:r>
              <w:rPr>
                <w:spacing w:val="-7"/>
                <w:sz w:val="24"/>
              </w:rPr>
              <w:t> </w:t>
            </w:r>
            <w:r>
              <w:rPr>
                <w:sz w:val="24"/>
              </w:rPr>
              <w:t>Estimates,</w:t>
            </w:r>
            <w:r>
              <w:rPr>
                <w:spacing w:val="-8"/>
                <w:sz w:val="24"/>
              </w:rPr>
              <w:t> </w:t>
            </w:r>
            <w:r>
              <w:rPr>
                <w:sz w:val="24"/>
              </w:rPr>
              <w:t>Section</w:t>
            </w:r>
            <w:r>
              <w:rPr>
                <w:spacing w:val="-7"/>
                <w:sz w:val="24"/>
              </w:rPr>
              <w:t> </w:t>
            </w:r>
            <w:r>
              <w:rPr>
                <w:sz w:val="24"/>
              </w:rPr>
              <w:t>55:</w:t>
            </w:r>
            <w:r>
              <w:rPr>
                <w:spacing w:val="-6"/>
                <w:sz w:val="24"/>
              </w:rPr>
              <w:t> </w:t>
            </w:r>
            <w:r>
              <w:rPr>
                <w:sz w:val="24"/>
              </w:rPr>
              <w:t>Information Technology Investments;</w:t>
            </w:r>
          </w:p>
          <w:p>
            <w:pPr>
              <w:pStyle w:val="TableParagraph"/>
              <w:numPr>
                <w:ilvl w:val="0"/>
                <w:numId w:val="29"/>
              </w:numPr>
              <w:tabs>
                <w:tab w:pos="328" w:val="left" w:leader="none"/>
              </w:tabs>
              <w:spacing w:line="216" w:lineRule="auto" w:before="0" w:after="0"/>
              <w:ind w:left="327" w:right="194" w:hanging="216"/>
              <w:jc w:val="left"/>
              <w:rPr>
                <w:sz w:val="24"/>
              </w:rPr>
            </w:pPr>
            <w:hyperlink r:id="rId41">
              <w:r>
                <w:rPr>
                  <w:color w:val="0000FF"/>
                  <w:sz w:val="24"/>
                </w:rPr>
                <w:t>OMB</w:t>
              </w:r>
            </w:hyperlink>
            <w:r>
              <w:rPr>
                <w:color w:val="0000FF"/>
                <w:sz w:val="24"/>
              </w:rPr>
              <w:t> </w:t>
            </w:r>
            <w:r>
              <w:rPr>
                <w:sz w:val="24"/>
              </w:rPr>
              <w:t>Circular No. A-11, Preparation, Submission and Execution of the Budget, Part 2, Preparation and Submission of Budget Estimates, Number III, MAX Data and</w:t>
            </w:r>
            <w:r>
              <w:rPr>
                <w:spacing w:val="-6"/>
                <w:sz w:val="24"/>
              </w:rPr>
              <w:t> </w:t>
            </w:r>
            <w:r>
              <w:rPr>
                <w:sz w:val="24"/>
              </w:rPr>
              <w:t>Other</w:t>
            </w:r>
            <w:r>
              <w:rPr>
                <w:spacing w:val="-7"/>
                <w:sz w:val="24"/>
              </w:rPr>
              <w:t> </w:t>
            </w:r>
            <w:r>
              <w:rPr>
                <w:sz w:val="24"/>
              </w:rPr>
              <w:t>Materials</w:t>
            </w:r>
            <w:r>
              <w:rPr>
                <w:spacing w:val="-6"/>
                <w:sz w:val="24"/>
              </w:rPr>
              <w:t> </w:t>
            </w:r>
            <w:r>
              <w:rPr>
                <w:sz w:val="24"/>
              </w:rPr>
              <w:t>Required</w:t>
            </w:r>
            <w:r>
              <w:rPr>
                <w:spacing w:val="-6"/>
                <w:sz w:val="24"/>
              </w:rPr>
              <w:t> </w:t>
            </w:r>
            <w:r>
              <w:rPr>
                <w:sz w:val="24"/>
              </w:rPr>
              <w:t>After</w:t>
            </w:r>
            <w:r>
              <w:rPr>
                <w:spacing w:val="-6"/>
                <w:sz w:val="24"/>
              </w:rPr>
              <w:t> </w:t>
            </w:r>
            <w:r>
              <w:rPr>
                <w:sz w:val="24"/>
              </w:rPr>
              <w:t>Passback,</w:t>
            </w:r>
            <w:r>
              <w:rPr>
                <w:spacing w:val="-5"/>
                <w:sz w:val="24"/>
              </w:rPr>
              <w:t> </w:t>
            </w:r>
            <w:r>
              <w:rPr>
                <w:sz w:val="24"/>
              </w:rPr>
              <w:t>Section</w:t>
            </w:r>
            <w:r>
              <w:rPr>
                <w:spacing w:val="-6"/>
                <w:sz w:val="24"/>
              </w:rPr>
              <w:t> </w:t>
            </w:r>
            <w:r>
              <w:rPr>
                <w:sz w:val="24"/>
              </w:rPr>
              <w:t>82 Combined Schedule X [Programming and Financing (Schedule</w:t>
            </w:r>
            <w:r>
              <w:rPr>
                <w:spacing w:val="-4"/>
                <w:sz w:val="24"/>
              </w:rPr>
              <w:t> </w:t>
            </w:r>
            <w:r>
              <w:rPr>
                <w:sz w:val="24"/>
              </w:rPr>
              <w:t>P)]</w:t>
            </w:r>
          </w:p>
          <w:p>
            <w:pPr>
              <w:pStyle w:val="TableParagraph"/>
              <w:numPr>
                <w:ilvl w:val="0"/>
                <w:numId w:val="29"/>
              </w:numPr>
              <w:tabs>
                <w:tab w:pos="328" w:val="left" w:leader="none"/>
              </w:tabs>
              <w:spacing w:line="216" w:lineRule="auto" w:before="0" w:after="0"/>
              <w:ind w:left="327" w:right="194" w:hanging="216"/>
              <w:jc w:val="left"/>
              <w:rPr>
                <w:sz w:val="24"/>
              </w:rPr>
            </w:pPr>
            <w:hyperlink r:id="rId41">
              <w:r>
                <w:rPr>
                  <w:color w:val="0000FF"/>
                  <w:sz w:val="24"/>
                </w:rPr>
                <w:t>OMB</w:t>
              </w:r>
            </w:hyperlink>
            <w:r>
              <w:rPr>
                <w:color w:val="0000FF"/>
                <w:sz w:val="24"/>
              </w:rPr>
              <w:t> </w:t>
            </w:r>
            <w:r>
              <w:rPr>
                <w:sz w:val="24"/>
              </w:rPr>
              <w:t>Circular No. A-11, Preparation, Submission and Execution of the Budget, Part 2, Preparation and Submission of Budget Estimates, Number III, MAX Data and</w:t>
            </w:r>
            <w:r>
              <w:rPr>
                <w:spacing w:val="-6"/>
                <w:sz w:val="24"/>
              </w:rPr>
              <w:t> </w:t>
            </w:r>
            <w:r>
              <w:rPr>
                <w:sz w:val="24"/>
              </w:rPr>
              <w:t>Other</w:t>
            </w:r>
            <w:r>
              <w:rPr>
                <w:spacing w:val="-7"/>
                <w:sz w:val="24"/>
              </w:rPr>
              <w:t> </w:t>
            </w:r>
            <w:r>
              <w:rPr>
                <w:sz w:val="24"/>
              </w:rPr>
              <w:t>Materials</w:t>
            </w:r>
            <w:r>
              <w:rPr>
                <w:spacing w:val="-6"/>
                <w:sz w:val="24"/>
              </w:rPr>
              <w:t> </w:t>
            </w:r>
            <w:r>
              <w:rPr>
                <w:sz w:val="24"/>
              </w:rPr>
              <w:t>Required</w:t>
            </w:r>
            <w:r>
              <w:rPr>
                <w:spacing w:val="-6"/>
                <w:sz w:val="24"/>
              </w:rPr>
              <w:t> </w:t>
            </w:r>
            <w:r>
              <w:rPr>
                <w:sz w:val="24"/>
              </w:rPr>
              <w:t>After</w:t>
            </w:r>
            <w:r>
              <w:rPr>
                <w:spacing w:val="-6"/>
                <w:sz w:val="24"/>
              </w:rPr>
              <w:t> </w:t>
            </w:r>
            <w:r>
              <w:rPr>
                <w:sz w:val="24"/>
              </w:rPr>
              <w:t>Passback,</w:t>
            </w:r>
            <w:r>
              <w:rPr>
                <w:spacing w:val="-5"/>
                <w:sz w:val="24"/>
              </w:rPr>
              <w:t> </w:t>
            </w:r>
            <w:r>
              <w:rPr>
                <w:sz w:val="24"/>
              </w:rPr>
              <w:t>Section</w:t>
            </w:r>
            <w:r>
              <w:rPr>
                <w:spacing w:val="-6"/>
                <w:sz w:val="24"/>
              </w:rPr>
              <w:t> </w:t>
            </w:r>
            <w:r>
              <w:rPr>
                <w:sz w:val="24"/>
              </w:rPr>
              <w:t>83 Object Classification (MAX Schedule O);</w:t>
            </w:r>
          </w:p>
          <w:p>
            <w:pPr>
              <w:pStyle w:val="TableParagraph"/>
              <w:numPr>
                <w:ilvl w:val="0"/>
                <w:numId w:val="29"/>
              </w:numPr>
              <w:tabs>
                <w:tab w:pos="328" w:val="left" w:leader="none"/>
              </w:tabs>
              <w:spacing w:line="213" w:lineRule="auto" w:before="0" w:after="0"/>
              <w:ind w:left="327" w:right="1500" w:hanging="216"/>
              <w:jc w:val="left"/>
              <w:rPr>
                <w:sz w:val="24"/>
              </w:rPr>
            </w:pPr>
            <w:hyperlink r:id="rId41">
              <w:r>
                <w:rPr>
                  <w:color w:val="0000FF"/>
                  <w:sz w:val="24"/>
                </w:rPr>
                <w:t>OMB</w:t>
              </w:r>
            </w:hyperlink>
            <w:r>
              <w:rPr>
                <w:color w:val="0000FF"/>
                <w:spacing w:val="-9"/>
                <w:sz w:val="24"/>
              </w:rPr>
              <w:t> </w:t>
            </w:r>
            <w:r>
              <w:rPr>
                <w:sz w:val="24"/>
              </w:rPr>
              <w:t>Circular</w:t>
            </w:r>
            <w:r>
              <w:rPr>
                <w:spacing w:val="-8"/>
                <w:sz w:val="24"/>
              </w:rPr>
              <w:t> </w:t>
            </w:r>
            <w:r>
              <w:rPr>
                <w:sz w:val="24"/>
              </w:rPr>
              <w:t>No.</w:t>
            </w:r>
            <w:r>
              <w:rPr>
                <w:spacing w:val="-8"/>
                <w:sz w:val="24"/>
              </w:rPr>
              <w:t> </w:t>
            </w:r>
            <w:r>
              <w:rPr>
                <w:sz w:val="24"/>
              </w:rPr>
              <w:t>A-136,</w:t>
            </w:r>
            <w:r>
              <w:rPr>
                <w:spacing w:val="-9"/>
                <w:sz w:val="24"/>
              </w:rPr>
              <w:t> </w:t>
            </w:r>
            <w:r>
              <w:rPr>
                <w:sz w:val="24"/>
              </w:rPr>
              <w:t>Financial</w:t>
            </w:r>
            <w:r>
              <w:rPr>
                <w:spacing w:val="-8"/>
                <w:sz w:val="24"/>
              </w:rPr>
              <w:t> </w:t>
            </w:r>
            <w:r>
              <w:rPr>
                <w:sz w:val="24"/>
              </w:rPr>
              <w:t>Reporting </w:t>
            </w:r>
            <w:r>
              <w:rPr>
                <w:spacing w:val="-2"/>
                <w:sz w:val="24"/>
              </w:rPr>
              <w:t>Requirements;</w:t>
            </w:r>
          </w:p>
          <w:p>
            <w:pPr>
              <w:pStyle w:val="TableParagraph"/>
              <w:numPr>
                <w:ilvl w:val="0"/>
                <w:numId w:val="29"/>
              </w:numPr>
              <w:tabs>
                <w:tab w:pos="328" w:val="left" w:leader="none"/>
              </w:tabs>
              <w:spacing w:line="216" w:lineRule="auto" w:before="0" w:after="0"/>
              <w:ind w:left="327" w:right="554" w:hanging="216"/>
              <w:jc w:val="left"/>
              <w:rPr>
                <w:sz w:val="24"/>
              </w:rPr>
            </w:pPr>
            <w:hyperlink r:id="rId42">
              <w:r>
                <w:rPr>
                  <w:color w:val="0000FF"/>
                  <w:sz w:val="24"/>
                </w:rPr>
                <w:t>SFFAS</w:t>
              </w:r>
              <w:r>
                <w:rPr>
                  <w:color w:val="0000FF"/>
                  <w:spacing w:val="-7"/>
                  <w:sz w:val="24"/>
                </w:rPr>
                <w:t> </w:t>
              </w:r>
              <w:r>
                <w:rPr>
                  <w:color w:val="0000FF"/>
                  <w:sz w:val="24"/>
                </w:rPr>
                <w:t>4</w:t>
              </w:r>
            </w:hyperlink>
            <w:r>
              <w:rPr>
                <w:sz w:val="24"/>
              </w:rPr>
              <w:t>:</w:t>
            </w:r>
            <w:r>
              <w:rPr>
                <w:spacing w:val="-8"/>
                <w:sz w:val="24"/>
              </w:rPr>
              <w:t> </w:t>
            </w:r>
            <w:r>
              <w:rPr>
                <w:sz w:val="24"/>
              </w:rPr>
              <w:t>Managerial</w:t>
            </w:r>
            <w:r>
              <w:rPr>
                <w:spacing w:val="-6"/>
                <w:sz w:val="24"/>
              </w:rPr>
              <w:t> </w:t>
            </w:r>
            <w:r>
              <w:rPr>
                <w:sz w:val="24"/>
              </w:rPr>
              <w:t>Cost</w:t>
            </w:r>
            <w:r>
              <w:rPr>
                <w:spacing w:val="-6"/>
                <w:sz w:val="24"/>
              </w:rPr>
              <w:t> </w:t>
            </w:r>
            <w:r>
              <w:rPr>
                <w:sz w:val="24"/>
              </w:rPr>
              <w:t>Accounting</w:t>
            </w:r>
            <w:r>
              <w:rPr>
                <w:spacing w:val="-7"/>
                <w:sz w:val="24"/>
              </w:rPr>
              <w:t> </w:t>
            </w:r>
            <w:r>
              <w:rPr>
                <w:sz w:val="24"/>
              </w:rPr>
              <w:t>Standards</w:t>
            </w:r>
            <w:r>
              <w:rPr>
                <w:spacing w:val="-7"/>
                <w:sz w:val="24"/>
              </w:rPr>
              <w:t> </w:t>
            </w:r>
            <w:r>
              <w:rPr>
                <w:sz w:val="24"/>
              </w:rPr>
              <w:t>and </w:t>
            </w:r>
            <w:r>
              <w:rPr>
                <w:spacing w:val="-2"/>
                <w:sz w:val="24"/>
              </w:rPr>
              <w:t>Concepts;</w:t>
            </w:r>
          </w:p>
          <w:p>
            <w:pPr>
              <w:pStyle w:val="TableParagraph"/>
              <w:numPr>
                <w:ilvl w:val="0"/>
                <w:numId w:val="29"/>
              </w:numPr>
              <w:tabs>
                <w:tab w:pos="328" w:val="left" w:leader="none"/>
              </w:tabs>
              <w:spacing w:line="216" w:lineRule="auto" w:before="0" w:after="0"/>
              <w:ind w:left="327" w:right="378"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Sources and Concepts for Reconciling Budgetary and Financial</w:t>
            </w:r>
            <w:r>
              <w:rPr>
                <w:spacing w:val="-26"/>
                <w:sz w:val="24"/>
              </w:rPr>
              <w:t> </w:t>
            </w:r>
            <w:r>
              <w:rPr>
                <w:sz w:val="24"/>
              </w:rPr>
              <w:t>Accounting;</w:t>
            </w:r>
          </w:p>
          <w:p>
            <w:pPr>
              <w:pStyle w:val="TableParagraph"/>
              <w:numPr>
                <w:ilvl w:val="0"/>
                <w:numId w:val="29"/>
              </w:numPr>
              <w:tabs>
                <w:tab w:pos="328" w:val="left" w:leader="none"/>
              </w:tabs>
              <w:spacing w:line="255" w:lineRule="exact" w:before="0" w:after="0"/>
              <w:ind w:left="327" w:right="0" w:hanging="217"/>
              <w:jc w:val="left"/>
              <w:rPr>
                <w:sz w:val="24"/>
              </w:rPr>
            </w:pPr>
            <w:hyperlink r:id="rId50">
              <w:r>
                <w:rPr>
                  <w:color w:val="0000FF"/>
                  <w:sz w:val="24"/>
                </w:rPr>
                <w:t>SFFAS</w:t>
              </w:r>
              <w:r>
                <w:rPr>
                  <w:color w:val="0000FF"/>
                  <w:spacing w:val="-6"/>
                  <w:sz w:val="24"/>
                </w:rPr>
                <w:t> </w:t>
              </w:r>
              <w:r>
                <w:rPr>
                  <w:color w:val="0000FF"/>
                  <w:sz w:val="24"/>
                </w:rPr>
                <w:t>15</w:t>
              </w:r>
            </w:hyperlink>
            <w:r>
              <w:rPr>
                <w:sz w:val="24"/>
              </w:rPr>
              <w:t>:</w:t>
            </w:r>
            <w:r>
              <w:rPr>
                <w:spacing w:val="-4"/>
                <w:sz w:val="24"/>
              </w:rPr>
              <w:t> </w:t>
            </w:r>
            <w:r>
              <w:rPr>
                <w:sz w:val="24"/>
              </w:rPr>
              <w:t>Management’s</w:t>
            </w:r>
            <w:r>
              <w:rPr>
                <w:spacing w:val="-4"/>
                <w:sz w:val="24"/>
              </w:rPr>
              <w:t> </w:t>
            </w:r>
            <w:r>
              <w:rPr>
                <w:sz w:val="24"/>
              </w:rPr>
              <w:t>Discussions</w:t>
            </w:r>
            <w:r>
              <w:rPr>
                <w:spacing w:val="-4"/>
                <w:sz w:val="24"/>
              </w:rPr>
              <w:t> </w:t>
            </w:r>
            <w:r>
              <w:rPr>
                <w:sz w:val="24"/>
              </w:rPr>
              <w:t>and</w:t>
            </w:r>
            <w:r>
              <w:rPr>
                <w:spacing w:val="-4"/>
                <w:sz w:val="24"/>
              </w:rPr>
              <w:t> </w:t>
            </w:r>
            <w:r>
              <w:rPr>
                <w:spacing w:val="-2"/>
                <w:sz w:val="24"/>
              </w:rPr>
              <w:t>Analysis;</w:t>
            </w:r>
          </w:p>
          <w:p>
            <w:pPr>
              <w:pStyle w:val="TableParagraph"/>
              <w:numPr>
                <w:ilvl w:val="0"/>
                <w:numId w:val="29"/>
              </w:numPr>
              <w:tabs>
                <w:tab w:pos="328" w:val="left" w:leader="none"/>
              </w:tabs>
              <w:spacing w:line="263" w:lineRule="exact" w:before="0" w:after="0"/>
              <w:ind w:left="327" w:right="0" w:hanging="217"/>
              <w:jc w:val="left"/>
              <w:rPr>
                <w:sz w:val="24"/>
              </w:rPr>
            </w:pPr>
            <w:hyperlink r:id="rId43">
              <w:r>
                <w:rPr>
                  <w:color w:val="0000FF"/>
                  <w:sz w:val="24"/>
                </w:rPr>
                <w:t>SFFAS</w:t>
              </w:r>
              <w:r>
                <w:rPr>
                  <w:color w:val="0000FF"/>
                  <w:spacing w:val="-4"/>
                  <w:sz w:val="24"/>
                </w:rPr>
                <w:t> </w:t>
              </w:r>
              <w:r>
                <w:rPr>
                  <w:color w:val="0000FF"/>
                  <w:sz w:val="24"/>
                </w:rPr>
                <w:t>55</w:t>
              </w:r>
            </w:hyperlink>
            <w:r>
              <w:rPr>
                <w:sz w:val="24"/>
              </w:rPr>
              <w:t>:</w:t>
            </w:r>
            <w:r>
              <w:rPr>
                <w:spacing w:val="-3"/>
                <w:sz w:val="24"/>
              </w:rPr>
              <w:t> </w:t>
            </w:r>
            <w:r>
              <w:rPr>
                <w:sz w:val="24"/>
              </w:rPr>
              <w:t>Amending</w:t>
            </w:r>
            <w:r>
              <w:rPr>
                <w:spacing w:val="-3"/>
                <w:sz w:val="24"/>
              </w:rPr>
              <w:t> </w:t>
            </w:r>
            <w:r>
              <w:rPr>
                <w:sz w:val="24"/>
              </w:rPr>
              <w:t>Inter-entity</w:t>
            </w:r>
            <w:r>
              <w:rPr>
                <w:spacing w:val="-6"/>
                <w:sz w:val="24"/>
              </w:rPr>
              <w:t> </w:t>
            </w:r>
            <w:r>
              <w:rPr>
                <w:sz w:val="24"/>
              </w:rPr>
              <w:t>Cost </w:t>
            </w:r>
            <w:r>
              <w:rPr>
                <w:spacing w:val="-2"/>
                <w:sz w:val="24"/>
              </w:rPr>
              <w:t>Provisions.</w:t>
            </w:r>
          </w:p>
        </w:tc>
      </w:tr>
    </w:tbl>
    <w:p>
      <w:pPr>
        <w:spacing w:after="0" w:line="263" w:lineRule="exact"/>
        <w:jc w:val="left"/>
        <w:rPr>
          <w:sz w:val="24"/>
        </w:rPr>
        <w:sectPr>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4304" w:hRule="atLeast"/>
        </w:trPr>
        <w:tc>
          <w:tcPr>
            <w:tcW w:w="1525" w:type="dxa"/>
            <w:vMerge w:val="restart"/>
          </w:tcPr>
          <w:p>
            <w:pPr>
              <w:pStyle w:val="TableParagraph"/>
              <w:spacing w:line="244" w:lineRule="exact"/>
              <w:ind w:left="107"/>
              <w:rPr>
                <w:sz w:val="24"/>
              </w:rPr>
            </w:pPr>
            <w:r>
              <w:rPr>
                <w:spacing w:val="-4"/>
                <w:sz w:val="24"/>
              </w:rPr>
              <w:t>2.1.1</w:t>
            </w:r>
          </w:p>
        </w:tc>
        <w:tc>
          <w:tcPr>
            <w:tcW w:w="1761" w:type="dxa"/>
            <w:vMerge w:val="restart"/>
          </w:tcPr>
          <w:p>
            <w:pPr>
              <w:pStyle w:val="TableParagraph"/>
              <w:spacing w:line="216" w:lineRule="auto"/>
              <w:ind w:left="108" w:right="185"/>
              <w:rPr>
                <w:sz w:val="24"/>
              </w:rPr>
            </w:pPr>
            <w:r>
              <w:rPr>
                <w:spacing w:val="-2"/>
                <w:sz w:val="24"/>
              </w:rPr>
              <w:t>Recording Budget Authority</w:t>
            </w:r>
          </w:p>
        </w:tc>
        <w:tc>
          <w:tcPr>
            <w:tcW w:w="1984" w:type="dxa"/>
          </w:tcPr>
          <w:p>
            <w:pPr>
              <w:pStyle w:val="TableParagraph"/>
              <w:spacing w:line="244" w:lineRule="exact"/>
              <w:ind w:left="107"/>
              <w:rPr>
                <w:sz w:val="24"/>
              </w:rPr>
            </w:pPr>
            <w:r>
              <w:rPr>
                <w:spacing w:val="-2"/>
                <w:sz w:val="24"/>
              </w:rPr>
              <w:t>2.1.1.1</w:t>
            </w:r>
          </w:p>
        </w:tc>
        <w:tc>
          <w:tcPr>
            <w:tcW w:w="1534" w:type="dxa"/>
          </w:tcPr>
          <w:p>
            <w:pPr>
              <w:pStyle w:val="TableParagraph"/>
              <w:spacing w:line="244" w:lineRule="exact"/>
              <w:ind w:left="109"/>
              <w:rPr>
                <w:sz w:val="24"/>
              </w:rPr>
            </w:pPr>
            <w:r>
              <w:rPr>
                <w:spacing w:val="-5"/>
                <w:sz w:val="24"/>
              </w:rPr>
              <w:t>DI</w:t>
            </w:r>
          </w:p>
        </w:tc>
        <w:tc>
          <w:tcPr>
            <w:tcW w:w="3834" w:type="dxa"/>
          </w:tcPr>
          <w:p>
            <w:pPr>
              <w:pStyle w:val="TableParagraph"/>
              <w:spacing w:line="216" w:lineRule="auto"/>
              <w:ind w:left="110" w:right="145"/>
              <w:rPr>
                <w:sz w:val="24"/>
              </w:rPr>
            </w:pPr>
            <w:r>
              <w:rPr>
                <w:sz w:val="24"/>
              </w:rPr>
              <w:t>Provide budgetary resource reporting</w:t>
            </w:r>
            <w:r>
              <w:rPr>
                <w:spacing w:val="-13"/>
                <w:sz w:val="24"/>
              </w:rPr>
              <w:t> </w:t>
            </w:r>
            <w:r>
              <w:rPr>
                <w:sz w:val="24"/>
              </w:rPr>
              <w:t>attributes</w:t>
            </w:r>
            <w:r>
              <w:rPr>
                <w:spacing w:val="-13"/>
                <w:sz w:val="24"/>
              </w:rPr>
              <w:t> </w:t>
            </w:r>
            <w:r>
              <w:rPr>
                <w:sz w:val="24"/>
              </w:rPr>
              <w:t>(for</w:t>
            </w:r>
            <w:r>
              <w:rPr>
                <w:spacing w:val="-14"/>
                <w:sz w:val="24"/>
              </w:rPr>
              <w:t> </w:t>
            </w:r>
            <w:r>
              <w:rPr>
                <w:sz w:val="24"/>
              </w:rPr>
              <w:t>example, Treasury Account Fund Symbol, expired, and unexpired) consistent with the budget execution</w:t>
            </w:r>
            <w:r>
              <w:rPr>
                <w:spacing w:val="-4"/>
                <w:sz w:val="24"/>
              </w:rPr>
              <w:t> </w:t>
            </w:r>
            <w:r>
              <w:rPr>
                <w:sz w:val="24"/>
              </w:rPr>
              <w:t>activities</w:t>
            </w:r>
            <w:r>
              <w:rPr>
                <w:spacing w:val="-4"/>
                <w:sz w:val="24"/>
              </w:rPr>
              <w:t> </w:t>
            </w:r>
            <w:r>
              <w:rPr>
                <w:sz w:val="24"/>
              </w:rPr>
              <w:t>as</w:t>
            </w:r>
            <w:r>
              <w:rPr>
                <w:spacing w:val="-4"/>
                <w:sz w:val="24"/>
              </w:rPr>
              <w:t> </w:t>
            </w:r>
            <w:r>
              <w:rPr>
                <w:sz w:val="24"/>
              </w:rPr>
              <w:t>defined</w:t>
            </w:r>
            <w:r>
              <w:rPr>
                <w:spacing w:val="-4"/>
                <w:sz w:val="24"/>
              </w:rPr>
              <w:t> </w:t>
            </w:r>
            <w:r>
              <w:rPr>
                <w:sz w:val="24"/>
              </w:rPr>
              <w:t>in OMB Circular No. A-11.</w:t>
            </w:r>
          </w:p>
        </w:tc>
        <w:tc>
          <w:tcPr>
            <w:tcW w:w="6628" w:type="dxa"/>
          </w:tcPr>
          <w:p>
            <w:pPr>
              <w:pStyle w:val="TableParagraph"/>
              <w:numPr>
                <w:ilvl w:val="0"/>
                <w:numId w:val="30"/>
              </w:numPr>
              <w:tabs>
                <w:tab w:pos="328" w:val="left" w:leader="none"/>
              </w:tabs>
              <w:spacing w:line="216" w:lineRule="auto" w:before="0" w:after="0"/>
              <w:ind w:left="327" w:right="447" w:hanging="216"/>
              <w:jc w:val="left"/>
              <w:rPr>
                <w:sz w:val="24"/>
              </w:rPr>
            </w:pPr>
            <w:hyperlink r:id="rId41">
              <w:r>
                <w:rPr>
                  <w:color w:val="0000FF"/>
                  <w:sz w:val="24"/>
                  <w:u w:val="single" w:color="0000FF"/>
                </w:rPr>
                <w:t>OMB</w:t>
              </w:r>
            </w:hyperlink>
            <w:r>
              <w:rPr>
                <w:color w:val="0000FF"/>
                <w:sz w:val="24"/>
                <w:u w:val="single" w:color="0000FF"/>
              </w:rPr>
              <w:t> </w:t>
            </w:r>
            <w:r>
              <w:rPr>
                <w:sz w:val="24"/>
              </w:rPr>
              <w:t>Circular No. A-11, Preparation, Submission and Execution</w:t>
            </w:r>
            <w:r>
              <w:rPr>
                <w:spacing w:val="-5"/>
                <w:sz w:val="24"/>
              </w:rPr>
              <w:t> </w:t>
            </w:r>
            <w:r>
              <w:rPr>
                <w:sz w:val="24"/>
              </w:rPr>
              <w:t>of</w:t>
            </w:r>
            <w:r>
              <w:rPr>
                <w:spacing w:val="-5"/>
                <w:sz w:val="24"/>
              </w:rPr>
              <w:t> </w:t>
            </w:r>
            <w:r>
              <w:rPr>
                <w:sz w:val="24"/>
              </w:rPr>
              <w:t>the</w:t>
            </w:r>
            <w:r>
              <w:rPr>
                <w:spacing w:val="-5"/>
                <w:sz w:val="24"/>
              </w:rPr>
              <w:t> </w:t>
            </w:r>
            <w:r>
              <w:rPr>
                <w:sz w:val="24"/>
              </w:rPr>
              <w:t>Budget,</w:t>
            </w:r>
            <w:r>
              <w:rPr>
                <w:spacing w:val="-5"/>
                <w:sz w:val="24"/>
              </w:rPr>
              <w:t> </w:t>
            </w:r>
            <w:r>
              <w:rPr>
                <w:sz w:val="24"/>
              </w:rPr>
              <w:t>Part</w:t>
            </w:r>
            <w:r>
              <w:rPr>
                <w:spacing w:val="-6"/>
                <w:sz w:val="24"/>
              </w:rPr>
              <w:t> </w:t>
            </w:r>
            <w:r>
              <w:rPr>
                <w:sz w:val="24"/>
              </w:rPr>
              <w:t>4,</w:t>
            </w:r>
            <w:r>
              <w:rPr>
                <w:spacing w:val="-6"/>
                <w:sz w:val="24"/>
              </w:rPr>
              <w:t> </w:t>
            </w:r>
            <w:r>
              <w:rPr>
                <w:sz w:val="24"/>
              </w:rPr>
              <w:t>Instructions</w:t>
            </w:r>
            <w:r>
              <w:rPr>
                <w:spacing w:val="-5"/>
                <w:sz w:val="24"/>
              </w:rPr>
              <w:t> </w:t>
            </w:r>
            <w:r>
              <w:rPr>
                <w:sz w:val="24"/>
              </w:rPr>
              <w:t>on</w:t>
            </w:r>
            <w:r>
              <w:rPr>
                <w:spacing w:val="-5"/>
                <w:sz w:val="24"/>
              </w:rPr>
              <w:t> </w:t>
            </w:r>
            <w:r>
              <w:rPr>
                <w:sz w:val="24"/>
              </w:rPr>
              <w:t>Budget </w:t>
            </w:r>
            <w:r>
              <w:rPr>
                <w:spacing w:val="-2"/>
                <w:sz w:val="24"/>
              </w:rPr>
              <w:t>Execution;</w:t>
            </w:r>
          </w:p>
          <w:p>
            <w:pPr>
              <w:pStyle w:val="TableParagraph"/>
              <w:numPr>
                <w:ilvl w:val="0"/>
                <w:numId w:val="30"/>
              </w:numPr>
              <w:tabs>
                <w:tab w:pos="328" w:val="left" w:leader="none"/>
              </w:tabs>
              <w:spacing w:line="216" w:lineRule="auto" w:before="0" w:after="0"/>
              <w:ind w:left="327" w:right="447" w:hanging="216"/>
              <w:jc w:val="left"/>
              <w:rPr>
                <w:sz w:val="24"/>
              </w:rPr>
            </w:pPr>
            <w:hyperlink r:id="rId41">
              <w:r>
                <w:rPr>
                  <w:color w:val="0000FF"/>
                  <w:sz w:val="24"/>
                  <w:u w:val="single" w:color="0000FF"/>
                </w:rPr>
                <w:t>OMB</w:t>
              </w:r>
            </w:hyperlink>
            <w:r>
              <w:rPr>
                <w:color w:val="0000FF"/>
                <w:sz w:val="24"/>
                <w:u w:val="single" w:color="0000FF"/>
              </w:rPr>
              <w:t> </w:t>
            </w:r>
            <w:r>
              <w:rPr>
                <w:sz w:val="24"/>
              </w:rPr>
              <w:t>Circular No. A-11, Preparation, Submission and Execution</w:t>
            </w:r>
            <w:r>
              <w:rPr>
                <w:spacing w:val="-5"/>
                <w:sz w:val="24"/>
              </w:rPr>
              <w:t> </w:t>
            </w:r>
            <w:r>
              <w:rPr>
                <w:sz w:val="24"/>
              </w:rPr>
              <w:t>of</w:t>
            </w:r>
            <w:r>
              <w:rPr>
                <w:spacing w:val="-5"/>
                <w:sz w:val="24"/>
              </w:rPr>
              <w:t> </w:t>
            </w:r>
            <w:r>
              <w:rPr>
                <w:sz w:val="24"/>
              </w:rPr>
              <w:t>the</w:t>
            </w:r>
            <w:r>
              <w:rPr>
                <w:spacing w:val="-5"/>
                <w:sz w:val="24"/>
              </w:rPr>
              <w:t> </w:t>
            </w:r>
            <w:r>
              <w:rPr>
                <w:sz w:val="24"/>
              </w:rPr>
              <w:t>Budget,</w:t>
            </w:r>
            <w:r>
              <w:rPr>
                <w:spacing w:val="-5"/>
                <w:sz w:val="24"/>
              </w:rPr>
              <w:t> </w:t>
            </w:r>
            <w:r>
              <w:rPr>
                <w:sz w:val="24"/>
              </w:rPr>
              <w:t>Part</w:t>
            </w:r>
            <w:r>
              <w:rPr>
                <w:spacing w:val="-6"/>
                <w:sz w:val="24"/>
              </w:rPr>
              <w:t> </w:t>
            </w:r>
            <w:r>
              <w:rPr>
                <w:sz w:val="24"/>
              </w:rPr>
              <w:t>4,</w:t>
            </w:r>
            <w:r>
              <w:rPr>
                <w:spacing w:val="-6"/>
                <w:sz w:val="24"/>
              </w:rPr>
              <w:t> </w:t>
            </w:r>
            <w:r>
              <w:rPr>
                <w:sz w:val="24"/>
              </w:rPr>
              <w:t>Instructions</w:t>
            </w:r>
            <w:r>
              <w:rPr>
                <w:spacing w:val="-5"/>
                <w:sz w:val="24"/>
              </w:rPr>
              <w:t> </w:t>
            </w:r>
            <w:r>
              <w:rPr>
                <w:sz w:val="24"/>
              </w:rPr>
              <w:t>on</w:t>
            </w:r>
            <w:r>
              <w:rPr>
                <w:spacing w:val="-5"/>
                <w:sz w:val="24"/>
              </w:rPr>
              <w:t> </w:t>
            </w:r>
            <w:r>
              <w:rPr>
                <w:sz w:val="24"/>
              </w:rPr>
              <w:t>Budget Execution, Section 130, SF 133, Report on Budget Execution and Budgetary Resources;</w:t>
            </w:r>
          </w:p>
          <w:p>
            <w:pPr>
              <w:pStyle w:val="TableParagraph"/>
              <w:numPr>
                <w:ilvl w:val="0"/>
                <w:numId w:val="30"/>
              </w:numPr>
              <w:tabs>
                <w:tab w:pos="328" w:val="left" w:leader="none"/>
              </w:tabs>
              <w:spacing w:line="216" w:lineRule="auto" w:before="0" w:after="0"/>
              <w:ind w:left="327" w:right="325" w:hanging="216"/>
              <w:jc w:val="left"/>
              <w:rPr>
                <w:sz w:val="24"/>
              </w:rPr>
            </w:pPr>
            <w:hyperlink r:id="rId41">
              <w:r>
                <w:rPr>
                  <w:color w:val="0000FF"/>
                  <w:sz w:val="24"/>
                  <w:u w:val="single" w:color="0000FF"/>
                </w:rPr>
                <w:t>OMB</w:t>
              </w:r>
            </w:hyperlink>
            <w:r>
              <w:rPr>
                <w:color w:val="0000FF"/>
                <w:sz w:val="24"/>
                <w:u w:val="single" w:color="0000FF"/>
              </w:rPr>
              <w:t> </w:t>
            </w:r>
            <w:r>
              <w:rPr>
                <w:sz w:val="24"/>
              </w:rPr>
              <w:t>Circular No. A-11, Preparation, Submission and Execution</w:t>
            </w:r>
            <w:r>
              <w:rPr>
                <w:spacing w:val="-4"/>
                <w:sz w:val="24"/>
              </w:rPr>
              <w:t> </w:t>
            </w:r>
            <w:r>
              <w:rPr>
                <w:sz w:val="24"/>
              </w:rPr>
              <w:t>of</w:t>
            </w:r>
            <w:r>
              <w:rPr>
                <w:spacing w:val="-5"/>
                <w:sz w:val="24"/>
              </w:rPr>
              <w:t> </w:t>
            </w:r>
            <w:r>
              <w:rPr>
                <w:sz w:val="24"/>
              </w:rPr>
              <w:t>the</w:t>
            </w:r>
            <w:r>
              <w:rPr>
                <w:spacing w:val="-5"/>
                <w:sz w:val="24"/>
              </w:rPr>
              <w:t> </w:t>
            </w:r>
            <w:r>
              <w:rPr>
                <w:sz w:val="24"/>
              </w:rPr>
              <w:t>Budget,</w:t>
            </w:r>
            <w:r>
              <w:rPr>
                <w:spacing w:val="-4"/>
                <w:sz w:val="24"/>
              </w:rPr>
              <w:t> </w:t>
            </w:r>
            <w:r>
              <w:rPr>
                <w:sz w:val="24"/>
              </w:rPr>
              <w:t>Appendix</w:t>
            </w:r>
            <w:r>
              <w:rPr>
                <w:spacing w:val="-5"/>
                <w:sz w:val="24"/>
              </w:rPr>
              <w:t> </w:t>
            </w:r>
            <w:r>
              <w:rPr>
                <w:sz w:val="24"/>
              </w:rPr>
              <w:t>F,</w:t>
            </w:r>
            <w:r>
              <w:rPr>
                <w:spacing w:val="-4"/>
                <w:sz w:val="24"/>
              </w:rPr>
              <w:t> </w:t>
            </w:r>
            <w:r>
              <w:rPr>
                <w:sz w:val="24"/>
              </w:rPr>
              <w:t>Format</w:t>
            </w:r>
            <w:r>
              <w:rPr>
                <w:spacing w:val="-6"/>
                <w:sz w:val="24"/>
              </w:rPr>
              <w:t> </w:t>
            </w:r>
            <w:r>
              <w:rPr>
                <w:sz w:val="24"/>
              </w:rPr>
              <w:t>of</w:t>
            </w:r>
            <w:r>
              <w:rPr>
                <w:spacing w:val="-5"/>
                <w:sz w:val="24"/>
              </w:rPr>
              <w:t> </w:t>
            </w:r>
            <w:r>
              <w:rPr>
                <w:sz w:val="24"/>
              </w:rPr>
              <w:t>SF</w:t>
            </w:r>
            <w:r>
              <w:rPr>
                <w:spacing w:val="-5"/>
                <w:sz w:val="24"/>
              </w:rPr>
              <w:t> </w:t>
            </w:r>
            <w:r>
              <w:rPr>
                <w:sz w:val="24"/>
              </w:rPr>
              <w:t>132, SF 133, Schedule P, and</w:t>
            </w:r>
            <w:r>
              <w:rPr>
                <w:spacing w:val="-3"/>
                <w:sz w:val="24"/>
              </w:rPr>
              <w:t> </w:t>
            </w:r>
            <w:r>
              <w:rPr>
                <w:sz w:val="24"/>
              </w:rPr>
              <w:t>SBR;</w:t>
            </w:r>
          </w:p>
          <w:p>
            <w:pPr>
              <w:pStyle w:val="TableParagraph"/>
              <w:numPr>
                <w:ilvl w:val="0"/>
                <w:numId w:val="30"/>
              </w:numPr>
              <w:tabs>
                <w:tab w:pos="328" w:val="left" w:leader="none"/>
              </w:tabs>
              <w:spacing w:line="216" w:lineRule="auto" w:before="0" w:after="0"/>
              <w:ind w:left="327" w:right="272" w:hanging="216"/>
              <w:jc w:val="left"/>
              <w:rPr>
                <w:sz w:val="24"/>
              </w:rPr>
            </w:pPr>
            <w:hyperlink r:id="rId41">
              <w:r>
                <w:rPr>
                  <w:color w:val="0000FF"/>
                  <w:sz w:val="24"/>
                  <w:u w:val="single" w:color="0000FF"/>
                </w:rPr>
                <w:t>OMB</w:t>
              </w:r>
            </w:hyperlink>
            <w:r>
              <w:rPr>
                <w:color w:val="0000FF"/>
                <w:sz w:val="24"/>
                <w:u w:val="single" w:color="0000FF"/>
              </w:rPr>
              <w:t> </w:t>
            </w:r>
            <w:r>
              <w:rPr>
                <w:sz w:val="24"/>
              </w:rPr>
              <w:t>Circular No. A-11, Preparation, Submission and Execution</w:t>
            </w:r>
            <w:r>
              <w:rPr>
                <w:spacing w:val="-1"/>
                <w:sz w:val="24"/>
              </w:rPr>
              <w:t> </w:t>
            </w:r>
            <w:r>
              <w:rPr>
                <w:sz w:val="24"/>
              </w:rPr>
              <w:t>of</w:t>
            </w:r>
            <w:r>
              <w:rPr>
                <w:spacing w:val="-2"/>
                <w:sz w:val="24"/>
              </w:rPr>
              <w:t> </w:t>
            </w:r>
            <w:r>
              <w:rPr>
                <w:sz w:val="24"/>
              </w:rPr>
              <w:t>the</w:t>
            </w:r>
            <w:r>
              <w:rPr>
                <w:spacing w:val="-2"/>
                <w:sz w:val="24"/>
              </w:rPr>
              <w:t> </w:t>
            </w:r>
            <w:r>
              <w:rPr>
                <w:sz w:val="24"/>
              </w:rPr>
              <w:t>Budget,</w:t>
            </w:r>
            <w:r>
              <w:rPr>
                <w:spacing w:val="-1"/>
                <w:sz w:val="24"/>
              </w:rPr>
              <w:t> </w:t>
            </w:r>
            <w:r>
              <w:rPr>
                <w:sz w:val="24"/>
              </w:rPr>
              <w:t>Appendix</w:t>
            </w:r>
            <w:r>
              <w:rPr>
                <w:spacing w:val="-2"/>
                <w:sz w:val="24"/>
              </w:rPr>
              <w:t> </w:t>
            </w:r>
            <w:r>
              <w:rPr>
                <w:sz w:val="24"/>
              </w:rPr>
              <w:t>H,</w:t>
            </w:r>
            <w:r>
              <w:rPr>
                <w:spacing w:val="-1"/>
                <w:sz w:val="24"/>
              </w:rPr>
              <w:t> </w:t>
            </w:r>
            <w:r>
              <w:rPr>
                <w:sz w:val="24"/>
              </w:rPr>
              <w:t>Checklist</w:t>
            </w:r>
            <w:r>
              <w:rPr>
                <w:spacing w:val="-1"/>
                <w:sz w:val="24"/>
              </w:rPr>
              <w:t> </w:t>
            </w:r>
            <w:r>
              <w:rPr>
                <w:sz w:val="24"/>
              </w:rPr>
              <w:t>for</w:t>
            </w:r>
            <w:r>
              <w:rPr>
                <w:spacing w:val="-2"/>
                <w:sz w:val="24"/>
              </w:rPr>
              <w:t> </w:t>
            </w:r>
            <w:r>
              <w:rPr>
                <w:sz w:val="24"/>
              </w:rPr>
              <w:t>Fund Control</w:t>
            </w:r>
            <w:r>
              <w:rPr>
                <w:spacing w:val="-8"/>
                <w:sz w:val="24"/>
              </w:rPr>
              <w:t> </w:t>
            </w:r>
            <w:r>
              <w:rPr>
                <w:sz w:val="24"/>
              </w:rPr>
              <w:t>Regulations,</w:t>
            </w:r>
            <w:r>
              <w:rPr>
                <w:spacing w:val="-7"/>
                <w:sz w:val="24"/>
              </w:rPr>
              <w:t> </w:t>
            </w:r>
            <w:r>
              <w:rPr>
                <w:sz w:val="24"/>
              </w:rPr>
              <w:t>Section</w:t>
            </w:r>
            <w:r>
              <w:rPr>
                <w:spacing w:val="-8"/>
                <w:sz w:val="24"/>
              </w:rPr>
              <w:t> </w:t>
            </w:r>
            <w:r>
              <w:rPr>
                <w:sz w:val="24"/>
              </w:rPr>
              <w:t>4:</w:t>
            </w:r>
            <w:r>
              <w:rPr>
                <w:spacing w:val="-8"/>
                <w:sz w:val="24"/>
              </w:rPr>
              <w:t> </w:t>
            </w:r>
            <w:r>
              <w:rPr>
                <w:sz w:val="24"/>
              </w:rPr>
              <w:t>Definitions,</w:t>
            </w:r>
            <w:r>
              <w:rPr>
                <w:spacing w:val="-7"/>
                <w:sz w:val="24"/>
              </w:rPr>
              <w:t> </w:t>
            </w:r>
            <w:r>
              <w:rPr>
                <w:sz w:val="24"/>
              </w:rPr>
              <w:t>Terminology, and Concepts;</w:t>
            </w:r>
          </w:p>
          <w:p>
            <w:pPr>
              <w:pStyle w:val="TableParagraph"/>
              <w:numPr>
                <w:ilvl w:val="0"/>
                <w:numId w:val="30"/>
              </w:numPr>
              <w:tabs>
                <w:tab w:pos="328" w:val="left" w:leader="none"/>
              </w:tabs>
              <w:spacing w:line="255" w:lineRule="exact" w:before="0" w:after="0"/>
              <w:ind w:left="327" w:right="0" w:hanging="217"/>
              <w:jc w:val="left"/>
              <w:rPr>
                <w:sz w:val="24"/>
              </w:rPr>
            </w:pPr>
            <w:hyperlink r:id="rId20">
              <w:r>
                <w:rPr>
                  <w:color w:val="0000FF"/>
                  <w:sz w:val="24"/>
                  <w:u w:val="single" w:color="0000FF"/>
                </w:rPr>
                <w:t>SFFAS</w:t>
              </w:r>
              <w:r>
                <w:rPr>
                  <w:color w:val="0000FF"/>
                  <w:spacing w:val="-5"/>
                  <w:sz w:val="24"/>
                  <w:u w:val="single" w:color="0000FF"/>
                </w:rPr>
                <w:t> </w:t>
              </w:r>
              <w:r>
                <w:rPr>
                  <w:color w:val="0000FF"/>
                  <w:sz w:val="24"/>
                  <w:u w:val="single" w:color="0000FF"/>
                </w:rPr>
                <w:t>7</w:t>
              </w:r>
            </w:hyperlink>
            <w:r>
              <w:rPr>
                <w:sz w:val="24"/>
              </w:rPr>
              <w:t>:</w:t>
            </w:r>
            <w:r>
              <w:rPr>
                <w:spacing w:val="-4"/>
                <w:sz w:val="24"/>
              </w:rPr>
              <w:t> </w:t>
            </w:r>
            <w:r>
              <w:rPr>
                <w:sz w:val="24"/>
              </w:rPr>
              <w:t>Accounting</w:t>
            </w:r>
            <w:r>
              <w:rPr>
                <w:spacing w:val="-2"/>
                <w:sz w:val="24"/>
              </w:rPr>
              <w:t> </w:t>
            </w:r>
            <w:r>
              <w:rPr>
                <w:sz w:val="24"/>
              </w:rPr>
              <w:t>for</w:t>
            </w:r>
            <w:r>
              <w:rPr>
                <w:spacing w:val="-3"/>
                <w:sz w:val="24"/>
              </w:rPr>
              <w:t> </w:t>
            </w:r>
            <w:r>
              <w:rPr>
                <w:sz w:val="24"/>
              </w:rPr>
              <w:t>Revenue</w:t>
            </w:r>
            <w:r>
              <w:rPr>
                <w:spacing w:val="-3"/>
                <w:sz w:val="24"/>
              </w:rPr>
              <w:t> </w:t>
            </w:r>
            <w:r>
              <w:rPr>
                <w:sz w:val="24"/>
              </w:rPr>
              <w:t>and</w:t>
            </w:r>
            <w:r>
              <w:rPr>
                <w:spacing w:val="-3"/>
                <w:sz w:val="24"/>
              </w:rPr>
              <w:t> </w:t>
            </w:r>
            <w:r>
              <w:rPr>
                <w:sz w:val="24"/>
              </w:rPr>
              <w:t>Other</w:t>
            </w:r>
            <w:r>
              <w:rPr>
                <w:spacing w:val="-2"/>
                <w:sz w:val="24"/>
              </w:rPr>
              <w:t> Financing</w:t>
            </w:r>
          </w:p>
          <w:p>
            <w:pPr>
              <w:pStyle w:val="TableParagraph"/>
              <w:spacing w:line="248" w:lineRule="exact"/>
              <w:rPr>
                <w:sz w:val="24"/>
              </w:rPr>
            </w:pPr>
            <w:r>
              <w:rPr>
                <w:sz w:val="24"/>
              </w:rPr>
              <w:t>Sources</w:t>
            </w:r>
            <w:r>
              <w:rPr>
                <w:spacing w:val="-7"/>
                <w:sz w:val="24"/>
              </w:rPr>
              <w:t> </w:t>
            </w:r>
            <w:r>
              <w:rPr>
                <w:sz w:val="24"/>
              </w:rPr>
              <w:t>and</w:t>
            </w:r>
            <w:r>
              <w:rPr>
                <w:spacing w:val="-7"/>
                <w:sz w:val="24"/>
              </w:rPr>
              <w:t> </w:t>
            </w:r>
            <w:r>
              <w:rPr>
                <w:sz w:val="24"/>
              </w:rPr>
              <w:t>Concepts</w:t>
            </w:r>
            <w:r>
              <w:rPr>
                <w:spacing w:val="-6"/>
                <w:sz w:val="24"/>
              </w:rPr>
              <w:t> </w:t>
            </w:r>
            <w:r>
              <w:rPr>
                <w:sz w:val="24"/>
              </w:rPr>
              <w:t>for</w:t>
            </w:r>
            <w:r>
              <w:rPr>
                <w:spacing w:val="-7"/>
                <w:sz w:val="24"/>
              </w:rPr>
              <w:t> </w:t>
            </w:r>
            <w:r>
              <w:rPr>
                <w:sz w:val="24"/>
              </w:rPr>
              <w:t>Reconciling</w:t>
            </w:r>
            <w:r>
              <w:rPr>
                <w:spacing w:val="-7"/>
                <w:sz w:val="24"/>
              </w:rPr>
              <w:t> </w:t>
            </w:r>
            <w:r>
              <w:rPr>
                <w:sz w:val="24"/>
              </w:rPr>
              <w:t>Budgetary</w:t>
            </w:r>
            <w:r>
              <w:rPr>
                <w:spacing w:val="-7"/>
                <w:sz w:val="24"/>
              </w:rPr>
              <w:t> </w:t>
            </w:r>
            <w:r>
              <w:rPr>
                <w:sz w:val="24"/>
              </w:rPr>
              <w:t>and Financial</w:t>
            </w:r>
            <w:r>
              <w:rPr>
                <w:spacing w:val="-26"/>
                <w:sz w:val="24"/>
              </w:rPr>
              <w:t> </w:t>
            </w:r>
            <w:r>
              <w:rPr>
                <w:sz w:val="24"/>
              </w:rPr>
              <w:t>Accounting.</w:t>
            </w:r>
          </w:p>
        </w:tc>
      </w:tr>
      <w:tr>
        <w:trPr>
          <w:trHeight w:val="2731"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2.1.1.2</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96"/>
              <w:rPr>
                <w:sz w:val="24"/>
              </w:rPr>
            </w:pPr>
            <w:r>
              <w:rPr>
                <w:sz w:val="24"/>
              </w:rPr>
              <w:t>Establish and maintain appropriated fund subdivisions and associated funding levels before any of the appropriated funds</w:t>
            </w:r>
            <w:r>
              <w:rPr>
                <w:spacing w:val="-10"/>
                <w:sz w:val="24"/>
              </w:rPr>
              <w:t> </w:t>
            </w:r>
            <w:r>
              <w:rPr>
                <w:sz w:val="24"/>
              </w:rPr>
              <w:t>are</w:t>
            </w:r>
            <w:r>
              <w:rPr>
                <w:spacing w:val="-10"/>
                <w:sz w:val="24"/>
              </w:rPr>
              <w:t> </w:t>
            </w:r>
            <w:r>
              <w:rPr>
                <w:sz w:val="24"/>
              </w:rPr>
              <w:t>obligated,</w:t>
            </w:r>
            <w:r>
              <w:rPr>
                <w:spacing w:val="-10"/>
                <w:sz w:val="24"/>
              </w:rPr>
              <w:t> </w:t>
            </w:r>
            <w:r>
              <w:rPr>
                <w:sz w:val="24"/>
              </w:rPr>
              <w:t>expended,</w:t>
            </w:r>
            <w:r>
              <w:rPr>
                <w:spacing w:val="-10"/>
                <w:sz w:val="24"/>
              </w:rPr>
              <w:t> </w:t>
            </w:r>
            <w:r>
              <w:rPr>
                <w:sz w:val="24"/>
              </w:rPr>
              <w:t>or disbursed according to OMB apportionments and the agency spend and operating plan, consistent with the budget</w:t>
            </w:r>
          </w:p>
          <w:p>
            <w:pPr>
              <w:pStyle w:val="TableParagraph"/>
              <w:spacing w:line="248" w:lineRule="exact"/>
              <w:ind w:left="110" w:right="145"/>
              <w:rPr>
                <w:sz w:val="24"/>
              </w:rPr>
            </w:pPr>
            <w:r>
              <w:rPr>
                <w:sz w:val="24"/>
              </w:rPr>
              <w:t>execution</w:t>
            </w:r>
            <w:r>
              <w:rPr>
                <w:spacing w:val="-10"/>
                <w:sz w:val="24"/>
              </w:rPr>
              <w:t> </w:t>
            </w:r>
            <w:r>
              <w:rPr>
                <w:sz w:val="24"/>
              </w:rPr>
              <w:t>activities</w:t>
            </w:r>
            <w:r>
              <w:rPr>
                <w:spacing w:val="-10"/>
                <w:sz w:val="24"/>
              </w:rPr>
              <w:t> </w:t>
            </w:r>
            <w:r>
              <w:rPr>
                <w:sz w:val="24"/>
              </w:rPr>
              <w:t>as</w:t>
            </w:r>
            <w:r>
              <w:rPr>
                <w:spacing w:val="-10"/>
                <w:sz w:val="24"/>
              </w:rPr>
              <w:t> </w:t>
            </w:r>
            <w:r>
              <w:rPr>
                <w:sz w:val="24"/>
              </w:rPr>
              <w:t>defined</w:t>
            </w:r>
            <w:r>
              <w:rPr>
                <w:spacing w:val="-10"/>
                <w:sz w:val="24"/>
              </w:rPr>
              <w:t> </w:t>
            </w:r>
            <w:r>
              <w:rPr>
                <w:sz w:val="24"/>
              </w:rPr>
              <w:t>in OMB Circular No. A-11.</w:t>
            </w:r>
          </w:p>
        </w:tc>
        <w:tc>
          <w:tcPr>
            <w:tcW w:w="6628" w:type="dxa"/>
          </w:tcPr>
          <w:p>
            <w:pPr>
              <w:pStyle w:val="TableParagraph"/>
              <w:numPr>
                <w:ilvl w:val="0"/>
                <w:numId w:val="31"/>
              </w:numPr>
              <w:tabs>
                <w:tab w:pos="328" w:val="left" w:leader="none"/>
              </w:tabs>
              <w:spacing w:line="216" w:lineRule="auto" w:before="0" w:after="0"/>
              <w:ind w:left="327" w:right="447" w:hanging="216"/>
              <w:jc w:val="left"/>
              <w:rPr>
                <w:sz w:val="24"/>
              </w:rPr>
            </w:pPr>
            <w:hyperlink r:id="rId41">
              <w:r>
                <w:rPr>
                  <w:color w:val="0000FF"/>
                  <w:sz w:val="24"/>
                </w:rPr>
                <w:t>OMB</w:t>
              </w:r>
            </w:hyperlink>
            <w:r>
              <w:rPr>
                <w:color w:val="0000FF"/>
                <w:sz w:val="24"/>
              </w:rPr>
              <w:t> </w:t>
            </w:r>
            <w:r>
              <w:rPr>
                <w:sz w:val="24"/>
              </w:rPr>
              <w:t>Circular No. A-11, Preparation, Submission and Execution</w:t>
            </w:r>
            <w:r>
              <w:rPr>
                <w:spacing w:val="-5"/>
                <w:sz w:val="24"/>
              </w:rPr>
              <w:t> </w:t>
            </w:r>
            <w:r>
              <w:rPr>
                <w:sz w:val="24"/>
              </w:rPr>
              <w:t>of</w:t>
            </w:r>
            <w:r>
              <w:rPr>
                <w:spacing w:val="-5"/>
                <w:sz w:val="24"/>
              </w:rPr>
              <w:t> </w:t>
            </w:r>
            <w:r>
              <w:rPr>
                <w:sz w:val="24"/>
              </w:rPr>
              <w:t>the</w:t>
            </w:r>
            <w:r>
              <w:rPr>
                <w:spacing w:val="-5"/>
                <w:sz w:val="24"/>
              </w:rPr>
              <w:t> </w:t>
            </w:r>
            <w:r>
              <w:rPr>
                <w:sz w:val="24"/>
              </w:rPr>
              <w:t>Budget,</w:t>
            </w:r>
            <w:r>
              <w:rPr>
                <w:spacing w:val="-5"/>
                <w:sz w:val="24"/>
              </w:rPr>
              <w:t> </w:t>
            </w:r>
            <w:r>
              <w:rPr>
                <w:sz w:val="24"/>
              </w:rPr>
              <w:t>Part</w:t>
            </w:r>
            <w:r>
              <w:rPr>
                <w:spacing w:val="-6"/>
                <w:sz w:val="24"/>
              </w:rPr>
              <w:t> </w:t>
            </w:r>
            <w:r>
              <w:rPr>
                <w:sz w:val="24"/>
              </w:rPr>
              <w:t>4,</w:t>
            </w:r>
            <w:r>
              <w:rPr>
                <w:spacing w:val="-6"/>
                <w:sz w:val="24"/>
              </w:rPr>
              <w:t> </w:t>
            </w:r>
            <w:r>
              <w:rPr>
                <w:sz w:val="24"/>
              </w:rPr>
              <w:t>Instructions</w:t>
            </w:r>
            <w:r>
              <w:rPr>
                <w:spacing w:val="-5"/>
                <w:sz w:val="24"/>
              </w:rPr>
              <w:t> </w:t>
            </w:r>
            <w:r>
              <w:rPr>
                <w:sz w:val="24"/>
              </w:rPr>
              <w:t>on</w:t>
            </w:r>
            <w:r>
              <w:rPr>
                <w:spacing w:val="-5"/>
                <w:sz w:val="24"/>
              </w:rPr>
              <w:t> </w:t>
            </w:r>
            <w:r>
              <w:rPr>
                <w:sz w:val="24"/>
              </w:rPr>
              <w:t>Budget </w:t>
            </w:r>
            <w:r>
              <w:rPr>
                <w:spacing w:val="-2"/>
                <w:sz w:val="24"/>
              </w:rPr>
              <w:t>Execution;</w:t>
            </w:r>
          </w:p>
          <w:p>
            <w:pPr>
              <w:pStyle w:val="TableParagraph"/>
              <w:numPr>
                <w:ilvl w:val="0"/>
                <w:numId w:val="31"/>
              </w:numPr>
              <w:tabs>
                <w:tab w:pos="328" w:val="left" w:leader="none"/>
              </w:tabs>
              <w:spacing w:line="216" w:lineRule="auto" w:before="0" w:after="0"/>
              <w:ind w:left="327" w:right="325" w:hanging="216"/>
              <w:jc w:val="left"/>
              <w:rPr>
                <w:sz w:val="24"/>
              </w:rPr>
            </w:pPr>
            <w:hyperlink r:id="rId41">
              <w:r>
                <w:rPr>
                  <w:color w:val="0000FF"/>
                  <w:sz w:val="24"/>
                </w:rPr>
                <w:t>OMB</w:t>
              </w:r>
            </w:hyperlink>
            <w:r>
              <w:rPr>
                <w:color w:val="0000FF"/>
                <w:sz w:val="24"/>
              </w:rPr>
              <w:t> </w:t>
            </w:r>
            <w:r>
              <w:rPr>
                <w:sz w:val="24"/>
              </w:rPr>
              <w:t>Circular No. A-11, Preparation, Submission and Execution</w:t>
            </w:r>
            <w:r>
              <w:rPr>
                <w:spacing w:val="-4"/>
                <w:sz w:val="24"/>
              </w:rPr>
              <w:t> </w:t>
            </w:r>
            <w:r>
              <w:rPr>
                <w:sz w:val="24"/>
              </w:rPr>
              <w:t>of</w:t>
            </w:r>
            <w:r>
              <w:rPr>
                <w:spacing w:val="-5"/>
                <w:sz w:val="24"/>
              </w:rPr>
              <w:t> </w:t>
            </w:r>
            <w:r>
              <w:rPr>
                <w:sz w:val="24"/>
              </w:rPr>
              <w:t>the</w:t>
            </w:r>
            <w:r>
              <w:rPr>
                <w:spacing w:val="-5"/>
                <w:sz w:val="24"/>
              </w:rPr>
              <w:t> </w:t>
            </w:r>
            <w:r>
              <w:rPr>
                <w:sz w:val="24"/>
              </w:rPr>
              <w:t>Budget,</w:t>
            </w:r>
            <w:r>
              <w:rPr>
                <w:spacing w:val="-4"/>
                <w:sz w:val="24"/>
              </w:rPr>
              <w:t> </w:t>
            </w:r>
            <w:r>
              <w:rPr>
                <w:sz w:val="24"/>
              </w:rPr>
              <w:t>Appendix</w:t>
            </w:r>
            <w:r>
              <w:rPr>
                <w:spacing w:val="-5"/>
                <w:sz w:val="24"/>
              </w:rPr>
              <w:t> </w:t>
            </w:r>
            <w:r>
              <w:rPr>
                <w:sz w:val="24"/>
              </w:rPr>
              <w:t>F,</w:t>
            </w:r>
            <w:r>
              <w:rPr>
                <w:spacing w:val="-4"/>
                <w:sz w:val="24"/>
              </w:rPr>
              <w:t> </w:t>
            </w:r>
            <w:r>
              <w:rPr>
                <w:sz w:val="24"/>
              </w:rPr>
              <w:t>Format</w:t>
            </w:r>
            <w:r>
              <w:rPr>
                <w:spacing w:val="-6"/>
                <w:sz w:val="24"/>
              </w:rPr>
              <w:t> </w:t>
            </w:r>
            <w:r>
              <w:rPr>
                <w:sz w:val="24"/>
              </w:rPr>
              <w:t>of</w:t>
            </w:r>
            <w:r>
              <w:rPr>
                <w:spacing w:val="-5"/>
                <w:sz w:val="24"/>
              </w:rPr>
              <w:t> </w:t>
            </w:r>
            <w:r>
              <w:rPr>
                <w:sz w:val="24"/>
              </w:rPr>
              <w:t>SF</w:t>
            </w:r>
            <w:r>
              <w:rPr>
                <w:spacing w:val="-5"/>
                <w:sz w:val="24"/>
              </w:rPr>
              <w:t> </w:t>
            </w:r>
            <w:r>
              <w:rPr>
                <w:sz w:val="24"/>
              </w:rPr>
              <w:t>132, SF 133, Schedule P, and</w:t>
            </w:r>
            <w:r>
              <w:rPr>
                <w:spacing w:val="-5"/>
                <w:sz w:val="24"/>
              </w:rPr>
              <w:t> </w:t>
            </w:r>
            <w:r>
              <w:rPr>
                <w:sz w:val="24"/>
              </w:rPr>
              <w:t>SBR.</w:t>
            </w:r>
          </w:p>
        </w:tc>
      </w:tr>
    </w:tbl>
    <w:p>
      <w:pPr>
        <w:spacing w:after="0" w:line="216" w:lineRule="auto"/>
        <w:jc w:val="left"/>
        <w:rPr>
          <w:sz w:val="24"/>
        </w:rPr>
        <w:sectPr>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483"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2.1.1.3</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96"/>
              <w:rPr>
                <w:sz w:val="24"/>
              </w:rPr>
            </w:pPr>
            <w:r>
              <w:rPr>
                <w:sz w:val="24"/>
              </w:rPr>
              <w:t>Provide budgetary authority and resource</w:t>
            </w:r>
            <w:r>
              <w:rPr>
                <w:spacing w:val="-2"/>
                <w:sz w:val="24"/>
              </w:rPr>
              <w:t> </w:t>
            </w:r>
            <w:r>
              <w:rPr>
                <w:sz w:val="24"/>
              </w:rPr>
              <w:t>data</w:t>
            </w:r>
            <w:r>
              <w:rPr>
                <w:spacing w:val="-2"/>
                <w:sz w:val="24"/>
              </w:rPr>
              <w:t> </w:t>
            </w:r>
            <w:r>
              <w:rPr>
                <w:sz w:val="24"/>
              </w:rPr>
              <w:t>required</w:t>
            </w:r>
            <w:r>
              <w:rPr>
                <w:spacing w:val="-2"/>
                <w:sz w:val="24"/>
              </w:rPr>
              <w:t> </w:t>
            </w:r>
            <w:r>
              <w:rPr>
                <w:sz w:val="24"/>
              </w:rPr>
              <w:t>to</w:t>
            </w:r>
            <w:r>
              <w:rPr>
                <w:spacing w:val="-2"/>
                <w:sz w:val="24"/>
              </w:rPr>
              <w:t> </w:t>
            </w:r>
            <w:r>
              <w:rPr>
                <w:sz w:val="24"/>
              </w:rPr>
              <w:t>post</w:t>
            </w:r>
            <w:r>
              <w:rPr>
                <w:spacing w:val="-3"/>
                <w:sz w:val="24"/>
              </w:rPr>
              <w:t> </w:t>
            </w:r>
            <w:r>
              <w:rPr>
                <w:sz w:val="24"/>
              </w:rPr>
              <w:t>GL transactions consistent with USSGL transaction codes, transaction categories (for example,</w:t>
            </w:r>
            <w:r>
              <w:rPr>
                <w:spacing w:val="-13"/>
                <w:sz w:val="24"/>
              </w:rPr>
              <w:t> </w:t>
            </w:r>
            <w:r>
              <w:rPr>
                <w:sz w:val="24"/>
              </w:rPr>
              <w:t>funding)</w:t>
            </w:r>
            <w:r>
              <w:rPr>
                <w:spacing w:val="-13"/>
                <w:sz w:val="24"/>
              </w:rPr>
              <w:t> </w:t>
            </w:r>
            <w:r>
              <w:rPr>
                <w:sz w:val="24"/>
              </w:rPr>
              <w:t>and</w:t>
            </w:r>
            <w:r>
              <w:rPr>
                <w:spacing w:val="-13"/>
                <w:sz w:val="24"/>
              </w:rPr>
              <w:t> </w:t>
            </w:r>
            <w:r>
              <w:rPr>
                <w:sz w:val="24"/>
              </w:rPr>
              <w:t>transaction subcategories (for example, budgetary resources other than collections) as defined in the</w:t>
            </w:r>
          </w:p>
          <w:p>
            <w:pPr>
              <w:pStyle w:val="TableParagraph"/>
              <w:spacing w:line="238" w:lineRule="exact"/>
              <w:ind w:left="110"/>
              <w:rPr>
                <w:sz w:val="24"/>
              </w:rPr>
            </w:pPr>
            <w:r>
              <w:rPr>
                <w:spacing w:val="-4"/>
                <w:sz w:val="24"/>
              </w:rPr>
              <w:t>TFM.</w:t>
            </w:r>
          </w:p>
        </w:tc>
        <w:tc>
          <w:tcPr>
            <w:tcW w:w="6628" w:type="dxa"/>
          </w:tcPr>
          <w:p>
            <w:pPr>
              <w:pStyle w:val="TableParagraph"/>
              <w:numPr>
                <w:ilvl w:val="0"/>
                <w:numId w:val="32"/>
              </w:numPr>
              <w:tabs>
                <w:tab w:pos="328" w:val="left" w:leader="none"/>
              </w:tabs>
              <w:spacing w:line="247"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4"/>
                <w:sz w:val="24"/>
              </w:rPr>
              <w:t> </w:t>
            </w:r>
            <w:r>
              <w:rPr>
                <w:sz w:val="24"/>
              </w:rPr>
              <w:t>III:</w:t>
            </w:r>
            <w:r>
              <w:rPr>
                <w:spacing w:val="-2"/>
                <w:sz w:val="24"/>
              </w:rPr>
              <w:t> </w:t>
            </w:r>
            <w:r>
              <w:rPr>
                <w:sz w:val="24"/>
              </w:rPr>
              <w:t>Account</w:t>
            </w:r>
            <w:r>
              <w:rPr>
                <w:spacing w:val="-4"/>
                <w:sz w:val="24"/>
              </w:rPr>
              <w:t> </w:t>
            </w:r>
            <w:r>
              <w:rPr>
                <w:spacing w:val="-2"/>
                <w:sz w:val="24"/>
              </w:rPr>
              <w:t>Transactions;</w:t>
            </w:r>
          </w:p>
          <w:p>
            <w:pPr>
              <w:pStyle w:val="TableParagraph"/>
              <w:numPr>
                <w:ilvl w:val="0"/>
                <w:numId w:val="32"/>
              </w:numPr>
              <w:tabs>
                <w:tab w:pos="328" w:val="left" w:leader="none"/>
              </w:tabs>
              <w:spacing w:line="213" w:lineRule="auto" w:before="12" w:after="0"/>
              <w:ind w:left="327" w:right="459" w:hanging="216"/>
              <w:jc w:val="left"/>
              <w:rPr>
                <w:sz w:val="24"/>
              </w:rPr>
            </w:pPr>
            <w:hyperlink r:id="rId14">
              <w:r>
                <w:rPr>
                  <w:color w:val="0000FF"/>
                  <w:sz w:val="24"/>
                </w:rPr>
                <w:t>USSGL</w:t>
              </w:r>
            </w:hyperlink>
            <w:r>
              <w:rPr>
                <w:sz w:val="24"/>
              </w:rPr>
              <w:t>, Section IV: Account Attributes for USSGL Proprietary</w:t>
            </w:r>
            <w:r>
              <w:rPr>
                <w:spacing w:val="-11"/>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7"/>
                <w:sz w:val="24"/>
              </w:rPr>
              <w:t> </w:t>
            </w:r>
            <w:r>
              <w:rPr>
                <w:sz w:val="24"/>
              </w:rPr>
              <w:t>Reporting;</w:t>
            </w:r>
          </w:p>
          <w:p>
            <w:pPr>
              <w:pStyle w:val="TableParagraph"/>
              <w:numPr>
                <w:ilvl w:val="0"/>
                <w:numId w:val="32"/>
              </w:numPr>
              <w:tabs>
                <w:tab w:pos="328" w:val="left" w:leader="none"/>
              </w:tabs>
              <w:spacing w:line="216" w:lineRule="auto" w:before="3"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r>
        <w:trPr>
          <w:trHeight w:val="1986" w:hRule="atLeast"/>
        </w:trPr>
        <w:tc>
          <w:tcPr>
            <w:tcW w:w="1525" w:type="dxa"/>
            <w:vMerge w:val="restart"/>
          </w:tcPr>
          <w:p>
            <w:pPr>
              <w:pStyle w:val="TableParagraph"/>
              <w:spacing w:line="245" w:lineRule="exact"/>
              <w:ind w:left="107"/>
              <w:rPr>
                <w:sz w:val="24"/>
              </w:rPr>
            </w:pPr>
            <w:r>
              <w:rPr>
                <w:spacing w:val="-4"/>
                <w:sz w:val="24"/>
              </w:rPr>
              <w:t>2.1.2</w:t>
            </w:r>
          </w:p>
        </w:tc>
        <w:tc>
          <w:tcPr>
            <w:tcW w:w="1761" w:type="dxa"/>
            <w:vMerge w:val="restart"/>
          </w:tcPr>
          <w:p>
            <w:pPr>
              <w:pStyle w:val="TableParagraph"/>
              <w:spacing w:line="216" w:lineRule="auto"/>
              <w:ind w:left="108" w:right="359"/>
              <w:rPr>
                <w:sz w:val="24"/>
              </w:rPr>
            </w:pPr>
            <w:r>
              <w:rPr>
                <w:spacing w:val="-2"/>
                <w:sz w:val="24"/>
              </w:rPr>
              <w:t>Recording Budget Obligations </w:t>
            </w:r>
            <w:r>
              <w:rPr>
                <w:sz w:val="24"/>
              </w:rPr>
              <w:t>and</w:t>
            </w:r>
            <w:r>
              <w:rPr>
                <w:spacing w:val="-17"/>
                <w:sz w:val="24"/>
              </w:rPr>
              <w:t> </w:t>
            </w:r>
            <w:r>
              <w:rPr>
                <w:sz w:val="24"/>
              </w:rPr>
              <w:t>Outlays</w:t>
            </w:r>
          </w:p>
        </w:tc>
        <w:tc>
          <w:tcPr>
            <w:tcW w:w="1984" w:type="dxa"/>
          </w:tcPr>
          <w:p>
            <w:pPr>
              <w:pStyle w:val="TableParagraph"/>
              <w:spacing w:line="245" w:lineRule="exact"/>
              <w:ind w:left="107"/>
              <w:rPr>
                <w:sz w:val="24"/>
              </w:rPr>
            </w:pPr>
            <w:r>
              <w:rPr>
                <w:spacing w:val="-2"/>
                <w:sz w:val="24"/>
              </w:rPr>
              <w:t>2.1.2.1</w:t>
            </w:r>
          </w:p>
        </w:tc>
        <w:tc>
          <w:tcPr>
            <w:tcW w:w="1534" w:type="dxa"/>
          </w:tcPr>
          <w:p>
            <w:pPr>
              <w:pStyle w:val="TableParagraph"/>
              <w:spacing w:line="245" w:lineRule="exact"/>
              <w:ind w:left="109"/>
              <w:rPr>
                <w:sz w:val="24"/>
              </w:rPr>
            </w:pPr>
            <w:r>
              <w:rPr>
                <w:sz w:val="24"/>
              </w:rPr>
              <w:t>P</w:t>
            </w:r>
          </w:p>
        </w:tc>
        <w:tc>
          <w:tcPr>
            <w:tcW w:w="3834" w:type="dxa"/>
          </w:tcPr>
          <w:p>
            <w:pPr>
              <w:pStyle w:val="TableParagraph"/>
              <w:spacing w:line="216" w:lineRule="auto"/>
              <w:ind w:left="110" w:right="145"/>
              <w:rPr>
                <w:sz w:val="24"/>
              </w:rPr>
            </w:pPr>
            <w:r>
              <w:rPr>
                <w:sz w:val="24"/>
              </w:rPr>
              <w:t>Execute</w:t>
            </w:r>
            <w:r>
              <w:rPr>
                <w:spacing w:val="-13"/>
                <w:sz w:val="24"/>
              </w:rPr>
              <w:t> </w:t>
            </w:r>
            <w:r>
              <w:rPr>
                <w:sz w:val="24"/>
              </w:rPr>
              <w:t>administrative</w:t>
            </w:r>
            <w:r>
              <w:rPr>
                <w:spacing w:val="-13"/>
                <w:sz w:val="24"/>
              </w:rPr>
              <w:t> </w:t>
            </w:r>
            <w:r>
              <w:rPr>
                <w:sz w:val="24"/>
              </w:rPr>
              <w:t>control</w:t>
            </w:r>
            <w:r>
              <w:rPr>
                <w:spacing w:val="-13"/>
                <w:sz w:val="24"/>
              </w:rPr>
              <w:t> </w:t>
            </w:r>
            <w:r>
              <w:rPr>
                <w:sz w:val="24"/>
              </w:rPr>
              <w:t>of funds consistent with OMB Circular No. A-11 to restrict obligation and expenditure from each account to the lower of the amount apportioned by OMB or</w:t>
            </w:r>
          </w:p>
          <w:p>
            <w:pPr>
              <w:pStyle w:val="TableParagraph"/>
              <w:spacing w:line="248" w:lineRule="exact"/>
              <w:ind w:left="110" w:right="145"/>
              <w:rPr>
                <w:sz w:val="24"/>
              </w:rPr>
            </w:pPr>
            <w:r>
              <w:rPr>
                <w:sz w:val="24"/>
              </w:rPr>
              <w:t>the amount available for obligation</w:t>
            </w:r>
            <w:r>
              <w:rPr>
                <w:spacing w:val="-17"/>
                <w:sz w:val="24"/>
              </w:rPr>
              <w:t> </w:t>
            </w:r>
            <w:r>
              <w:rPr>
                <w:sz w:val="24"/>
              </w:rPr>
              <w:t>and/or</w:t>
            </w:r>
            <w:r>
              <w:rPr>
                <w:spacing w:val="-17"/>
                <w:sz w:val="24"/>
              </w:rPr>
              <w:t> </w:t>
            </w:r>
            <w:r>
              <w:rPr>
                <w:sz w:val="24"/>
              </w:rPr>
              <w:t>expenditure.</w:t>
            </w:r>
          </w:p>
        </w:tc>
        <w:tc>
          <w:tcPr>
            <w:tcW w:w="6628" w:type="dxa"/>
          </w:tcPr>
          <w:p>
            <w:pPr>
              <w:pStyle w:val="TableParagraph"/>
              <w:numPr>
                <w:ilvl w:val="0"/>
                <w:numId w:val="33"/>
              </w:numPr>
              <w:tabs>
                <w:tab w:pos="328" w:val="left" w:leader="none"/>
              </w:tabs>
              <w:spacing w:line="216" w:lineRule="auto" w:before="0" w:after="0"/>
              <w:ind w:left="327" w:right="447" w:hanging="216"/>
              <w:jc w:val="left"/>
              <w:rPr>
                <w:sz w:val="24"/>
              </w:rPr>
            </w:pPr>
            <w:hyperlink r:id="rId41">
              <w:r>
                <w:rPr>
                  <w:color w:val="0000FF"/>
                  <w:sz w:val="24"/>
                  <w:u w:val="single" w:color="0000FF"/>
                </w:rPr>
                <w:t>OMB</w:t>
              </w:r>
            </w:hyperlink>
            <w:r>
              <w:rPr>
                <w:color w:val="0000FF"/>
                <w:sz w:val="24"/>
                <w:u w:val="single" w:color="0000FF"/>
              </w:rPr>
              <w:t> </w:t>
            </w:r>
            <w:r>
              <w:rPr>
                <w:sz w:val="24"/>
              </w:rPr>
              <w:t>Circular No. A-11, Preparation, Submission and Execution</w:t>
            </w:r>
            <w:r>
              <w:rPr>
                <w:spacing w:val="-5"/>
                <w:sz w:val="24"/>
              </w:rPr>
              <w:t> </w:t>
            </w:r>
            <w:r>
              <w:rPr>
                <w:sz w:val="24"/>
              </w:rPr>
              <w:t>of</w:t>
            </w:r>
            <w:r>
              <w:rPr>
                <w:spacing w:val="-5"/>
                <w:sz w:val="24"/>
              </w:rPr>
              <w:t> </w:t>
            </w:r>
            <w:r>
              <w:rPr>
                <w:sz w:val="24"/>
              </w:rPr>
              <w:t>the</w:t>
            </w:r>
            <w:r>
              <w:rPr>
                <w:spacing w:val="-5"/>
                <w:sz w:val="24"/>
              </w:rPr>
              <w:t> </w:t>
            </w:r>
            <w:r>
              <w:rPr>
                <w:sz w:val="24"/>
              </w:rPr>
              <w:t>Budget,</w:t>
            </w:r>
            <w:r>
              <w:rPr>
                <w:spacing w:val="-5"/>
                <w:sz w:val="24"/>
              </w:rPr>
              <w:t> </w:t>
            </w:r>
            <w:r>
              <w:rPr>
                <w:sz w:val="24"/>
              </w:rPr>
              <w:t>Part</w:t>
            </w:r>
            <w:r>
              <w:rPr>
                <w:spacing w:val="-6"/>
                <w:sz w:val="24"/>
              </w:rPr>
              <w:t> </w:t>
            </w:r>
            <w:r>
              <w:rPr>
                <w:sz w:val="24"/>
              </w:rPr>
              <w:t>4,</w:t>
            </w:r>
            <w:r>
              <w:rPr>
                <w:spacing w:val="-6"/>
                <w:sz w:val="24"/>
              </w:rPr>
              <w:t> </w:t>
            </w:r>
            <w:r>
              <w:rPr>
                <w:sz w:val="24"/>
              </w:rPr>
              <w:t>Instructions</w:t>
            </w:r>
            <w:r>
              <w:rPr>
                <w:spacing w:val="-5"/>
                <w:sz w:val="24"/>
              </w:rPr>
              <w:t> </w:t>
            </w:r>
            <w:r>
              <w:rPr>
                <w:sz w:val="24"/>
              </w:rPr>
              <w:t>on</w:t>
            </w:r>
            <w:r>
              <w:rPr>
                <w:spacing w:val="-5"/>
                <w:sz w:val="24"/>
              </w:rPr>
              <w:t> </w:t>
            </w:r>
            <w:r>
              <w:rPr>
                <w:sz w:val="24"/>
              </w:rPr>
              <w:t>Budget Execution, Section 145, Requirements for Reporting Antideficiency Act Violations;</w:t>
            </w:r>
          </w:p>
          <w:p>
            <w:pPr>
              <w:pStyle w:val="TableParagraph"/>
              <w:numPr>
                <w:ilvl w:val="0"/>
                <w:numId w:val="33"/>
              </w:numPr>
              <w:tabs>
                <w:tab w:pos="328" w:val="left" w:leader="none"/>
              </w:tabs>
              <w:spacing w:line="216" w:lineRule="auto" w:before="0" w:after="0"/>
              <w:ind w:left="327" w:right="288" w:hanging="216"/>
              <w:jc w:val="left"/>
              <w:rPr>
                <w:sz w:val="24"/>
              </w:rPr>
            </w:pPr>
            <w:hyperlink r:id="rId41">
              <w:r>
                <w:rPr>
                  <w:color w:val="0000FF"/>
                  <w:sz w:val="24"/>
                  <w:u w:val="single" w:color="0000FF"/>
                </w:rPr>
                <w:t>OMB</w:t>
              </w:r>
            </w:hyperlink>
            <w:r>
              <w:rPr>
                <w:color w:val="0000FF"/>
                <w:sz w:val="24"/>
                <w:u w:val="single" w:color="0000FF"/>
              </w:rPr>
              <w:t> </w:t>
            </w:r>
            <w:r>
              <w:rPr>
                <w:sz w:val="24"/>
              </w:rPr>
              <w:t>Circular No. A-11, Preparation, Submission and Execution of the Budget, Part 4, Instructions on Budget Execution,</w:t>
            </w:r>
            <w:r>
              <w:rPr>
                <w:spacing w:val="-7"/>
                <w:sz w:val="24"/>
              </w:rPr>
              <w:t> </w:t>
            </w:r>
            <w:r>
              <w:rPr>
                <w:sz w:val="24"/>
              </w:rPr>
              <w:t>Section</w:t>
            </w:r>
            <w:r>
              <w:rPr>
                <w:spacing w:val="-7"/>
                <w:sz w:val="24"/>
              </w:rPr>
              <w:t> </w:t>
            </w:r>
            <w:r>
              <w:rPr>
                <w:sz w:val="24"/>
              </w:rPr>
              <w:t>150,</w:t>
            </w:r>
            <w:r>
              <w:rPr>
                <w:spacing w:val="-7"/>
                <w:sz w:val="24"/>
              </w:rPr>
              <w:t> </w:t>
            </w:r>
            <w:r>
              <w:rPr>
                <w:sz w:val="24"/>
              </w:rPr>
              <w:t>Administrative</w:t>
            </w:r>
            <w:r>
              <w:rPr>
                <w:spacing w:val="-7"/>
                <w:sz w:val="24"/>
              </w:rPr>
              <w:t> </w:t>
            </w:r>
            <w:r>
              <w:rPr>
                <w:sz w:val="24"/>
              </w:rPr>
              <w:t>Control</w:t>
            </w:r>
            <w:r>
              <w:rPr>
                <w:spacing w:val="-7"/>
                <w:sz w:val="24"/>
              </w:rPr>
              <w:t> </w:t>
            </w:r>
            <w:r>
              <w:rPr>
                <w:sz w:val="24"/>
              </w:rPr>
              <w:t>of</w:t>
            </w:r>
            <w:r>
              <w:rPr>
                <w:spacing w:val="-9"/>
                <w:sz w:val="24"/>
              </w:rPr>
              <w:t> </w:t>
            </w:r>
            <w:r>
              <w:rPr>
                <w:sz w:val="24"/>
              </w:rPr>
              <w:t>Funds.</w:t>
            </w:r>
          </w:p>
        </w:tc>
      </w:tr>
      <w:tr>
        <w:trPr>
          <w:trHeight w:val="1242"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5" w:lineRule="exact"/>
              <w:ind w:left="107"/>
              <w:rPr>
                <w:sz w:val="24"/>
              </w:rPr>
            </w:pPr>
            <w:r>
              <w:rPr>
                <w:spacing w:val="-2"/>
                <w:sz w:val="24"/>
              </w:rPr>
              <w:t>2.1.2.2</w:t>
            </w:r>
          </w:p>
        </w:tc>
        <w:tc>
          <w:tcPr>
            <w:tcW w:w="1534" w:type="dxa"/>
          </w:tcPr>
          <w:p>
            <w:pPr>
              <w:pStyle w:val="TableParagraph"/>
              <w:spacing w:line="245" w:lineRule="exact"/>
              <w:ind w:left="109"/>
              <w:rPr>
                <w:sz w:val="24"/>
              </w:rPr>
            </w:pPr>
            <w:r>
              <w:rPr>
                <w:sz w:val="24"/>
              </w:rPr>
              <w:t>P</w:t>
            </w:r>
          </w:p>
        </w:tc>
        <w:tc>
          <w:tcPr>
            <w:tcW w:w="3834" w:type="dxa"/>
          </w:tcPr>
          <w:p>
            <w:pPr>
              <w:pStyle w:val="TableParagraph"/>
              <w:spacing w:line="216" w:lineRule="auto"/>
              <w:ind w:left="110" w:right="191"/>
              <w:rPr>
                <w:sz w:val="24"/>
              </w:rPr>
            </w:pPr>
            <w:r>
              <w:rPr>
                <w:sz w:val="24"/>
              </w:rPr>
              <w:t>Execute statutory limitation controls restricting obligations and expenditures to amounts authorized</w:t>
            </w:r>
            <w:r>
              <w:rPr>
                <w:spacing w:val="-9"/>
                <w:sz w:val="24"/>
              </w:rPr>
              <w:t> </w:t>
            </w:r>
            <w:r>
              <w:rPr>
                <w:sz w:val="24"/>
              </w:rPr>
              <w:t>by</w:t>
            </w:r>
            <w:r>
              <w:rPr>
                <w:spacing w:val="-10"/>
                <w:sz w:val="24"/>
              </w:rPr>
              <w:t> </w:t>
            </w:r>
            <w:r>
              <w:rPr>
                <w:sz w:val="24"/>
              </w:rPr>
              <w:t>law</w:t>
            </w:r>
            <w:r>
              <w:rPr>
                <w:spacing w:val="-10"/>
                <w:sz w:val="24"/>
              </w:rPr>
              <w:t> </w:t>
            </w:r>
            <w:r>
              <w:rPr>
                <w:sz w:val="24"/>
              </w:rPr>
              <w:t>consistent</w:t>
            </w:r>
            <w:r>
              <w:rPr>
                <w:spacing w:val="-10"/>
                <w:sz w:val="24"/>
              </w:rPr>
              <w:t> </w:t>
            </w:r>
            <w:r>
              <w:rPr>
                <w:sz w:val="24"/>
              </w:rPr>
              <w:t>with</w:t>
            </w:r>
          </w:p>
          <w:p>
            <w:pPr>
              <w:pStyle w:val="TableParagraph"/>
              <w:spacing w:line="238" w:lineRule="exact"/>
              <w:ind w:left="110"/>
              <w:rPr>
                <w:sz w:val="24"/>
              </w:rPr>
            </w:pPr>
            <w:r>
              <w:rPr>
                <w:sz w:val="24"/>
              </w:rPr>
              <w:t>OMB</w:t>
            </w:r>
            <w:r>
              <w:rPr>
                <w:spacing w:val="-5"/>
                <w:sz w:val="24"/>
              </w:rPr>
              <w:t> </w:t>
            </w:r>
            <w:r>
              <w:rPr>
                <w:sz w:val="24"/>
              </w:rPr>
              <w:t>Circular</w:t>
            </w:r>
            <w:r>
              <w:rPr>
                <w:spacing w:val="-2"/>
                <w:sz w:val="24"/>
              </w:rPr>
              <w:t> </w:t>
            </w:r>
            <w:r>
              <w:rPr>
                <w:sz w:val="24"/>
              </w:rPr>
              <w:t>No.</w:t>
            </w:r>
            <w:r>
              <w:rPr>
                <w:spacing w:val="-1"/>
                <w:sz w:val="24"/>
              </w:rPr>
              <w:t> </w:t>
            </w:r>
            <w:r>
              <w:rPr>
                <w:sz w:val="24"/>
              </w:rPr>
              <w:t>A-</w:t>
            </w:r>
            <w:r>
              <w:rPr>
                <w:spacing w:val="-5"/>
                <w:sz w:val="24"/>
              </w:rPr>
              <w:t>11.</w:t>
            </w:r>
          </w:p>
        </w:tc>
        <w:tc>
          <w:tcPr>
            <w:tcW w:w="6628" w:type="dxa"/>
          </w:tcPr>
          <w:p>
            <w:pPr>
              <w:pStyle w:val="TableParagraph"/>
              <w:numPr>
                <w:ilvl w:val="0"/>
                <w:numId w:val="34"/>
              </w:numPr>
              <w:tabs>
                <w:tab w:pos="328" w:val="left" w:leader="none"/>
              </w:tabs>
              <w:spacing w:line="216" w:lineRule="auto" w:before="0" w:after="0"/>
              <w:ind w:left="327" w:right="288" w:hanging="216"/>
              <w:jc w:val="left"/>
              <w:rPr>
                <w:sz w:val="24"/>
              </w:rPr>
            </w:pPr>
            <w:hyperlink r:id="rId41">
              <w:r>
                <w:rPr>
                  <w:color w:val="0000FF"/>
                  <w:sz w:val="24"/>
                  <w:u w:val="single" w:color="0000FF"/>
                </w:rPr>
                <w:t>OMB</w:t>
              </w:r>
            </w:hyperlink>
            <w:r>
              <w:rPr>
                <w:color w:val="0000FF"/>
                <w:sz w:val="24"/>
                <w:u w:val="single" w:color="0000FF"/>
              </w:rPr>
              <w:t> </w:t>
            </w:r>
            <w:r>
              <w:rPr>
                <w:sz w:val="24"/>
              </w:rPr>
              <w:t>Circular No. A-11, Preparation, Submission and Execution of the Budget, Part 4, Instructions on Budget Execution,</w:t>
            </w:r>
            <w:r>
              <w:rPr>
                <w:spacing w:val="-7"/>
                <w:sz w:val="24"/>
              </w:rPr>
              <w:t> </w:t>
            </w:r>
            <w:r>
              <w:rPr>
                <w:sz w:val="24"/>
              </w:rPr>
              <w:t>Section</w:t>
            </w:r>
            <w:r>
              <w:rPr>
                <w:spacing w:val="-7"/>
                <w:sz w:val="24"/>
              </w:rPr>
              <w:t> </w:t>
            </w:r>
            <w:r>
              <w:rPr>
                <w:sz w:val="24"/>
              </w:rPr>
              <w:t>150,</w:t>
            </w:r>
            <w:r>
              <w:rPr>
                <w:spacing w:val="-7"/>
                <w:sz w:val="24"/>
              </w:rPr>
              <w:t> </w:t>
            </w:r>
            <w:r>
              <w:rPr>
                <w:sz w:val="24"/>
              </w:rPr>
              <w:t>Administrative</w:t>
            </w:r>
            <w:r>
              <w:rPr>
                <w:spacing w:val="-7"/>
                <w:sz w:val="24"/>
              </w:rPr>
              <w:t> </w:t>
            </w:r>
            <w:r>
              <w:rPr>
                <w:sz w:val="24"/>
              </w:rPr>
              <w:t>Control</w:t>
            </w:r>
            <w:r>
              <w:rPr>
                <w:spacing w:val="-7"/>
                <w:sz w:val="24"/>
              </w:rPr>
              <w:t> </w:t>
            </w:r>
            <w:r>
              <w:rPr>
                <w:sz w:val="24"/>
              </w:rPr>
              <w:t>of</w:t>
            </w:r>
            <w:r>
              <w:rPr>
                <w:spacing w:val="-9"/>
                <w:sz w:val="24"/>
              </w:rPr>
              <w:t> </w:t>
            </w:r>
            <w:r>
              <w:rPr>
                <w:sz w:val="24"/>
              </w:rPr>
              <w:t>Funds.</w:t>
            </w:r>
          </w:p>
        </w:tc>
      </w:tr>
      <w:tr>
        <w:trPr>
          <w:trHeight w:val="2235"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2.1.2.3</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96"/>
              <w:rPr>
                <w:sz w:val="24"/>
              </w:rPr>
            </w:pPr>
            <w:r>
              <w:rPr>
                <w:sz w:val="24"/>
              </w:rPr>
              <w:t>Provide budget obligation and outlay data required to post GL transactions consistent with USSGL transaction codes, categories</w:t>
            </w:r>
            <w:r>
              <w:rPr>
                <w:spacing w:val="-13"/>
                <w:sz w:val="24"/>
              </w:rPr>
              <w:t> </w:t>
            </w:r>
            <w:r>
              <w:rPr>
                <w:sz w:val="24"/>
              </w:rPr>
              <w:t>(for</w:t>
            </w:r>
            <w:r>
              <w:rPr>
                <w:spacing w:val="-13"/>
                <w:sz w:val="24"/>
              </w:rPr>
              <w:t> </w:t>
            </w:r>
            <w:r>
              <w:rPr>
                <w:sz w:val="24"/>
              </w:rPr>
              <w:t>example,</w:t>
            </w:r>
            <w:r>
              <w:rPr>
                <w:spacing w:val="-13"/>
                <w:sz w:val="24"/>
              </w:rPr>
              <w:t> </w:t>
            </w:r>
            <w:r>
              <w:rPr>
                <w:sz w:val="24"/>
              </w:rPr>
              <w:t>funding), and subcategories (for example, budgetary resources other than collections) as defined in the</w:t>
            </w:r>
          </w:p>
          <w:p>
            <w:pPr>
              <w:pStyle w:val="TableParagraph"/>
              <w:spacing w:line="238" w:lineRule="exact"/>
              <w:ind w:left="110"/>
              <w:rPr>
                <w:sz w:val="24"/>
              </w:rPr>
            </w:pPr>
            <w:r>
              <w:rPr>
                <w:spacing w:val="-4"/>
                <w:sz w:val="24"/>
              </w:rPr>
              <w:t>TFM.</w:t>
            </w:r>
          </w:p>
        </w:tc>
        <w:tc>
          <w:tcPr>
            <w:tcW w:w="6628" w:type="dxa"/>
          </w:tcPr>
          <w:p>
            <w:pPr>
              <w:pStyle w:val="TableParagraph"/>
              <w:numPr>
                <w:ilvl w:val="0"/>
                <w:numId w:val="35"/>
              </w:numPr>
              <w:tabs>
                <w:tab w:pos="328" w:val="left" w:leader="none"/>
              </w:tabs>
              <w:spacing w:line="247" w:lineRule="exact" w:before="0" w:after="0"/>
              <w:ind w:left="327" w:right="0" w:hanging="217"/>
              <w:jc w:val="left"/>
              <w:rPr>
                <w:sz w:val="24"/>
              </w:rPr>
            </w:pPr>
            <w:hyperlink r:id="rId14">
              <w:r>
                <w:rPr>
                  <w:color w:val="0000FF"/>
                  <w:sz w:val="24"/>
                  <w:u w:val="single" w:color="0000FF"/>
                </w:rPr>
                <w:t>USSGL</w:t>
              </w:r>
            </w:hyperlink>
            <w:r>
              <w:rPr>
                <w:sz w:val="24"/>
              </w:rPr>
              <w:t>,</w:t>
            </w:r>
            <w:r>
              <w:rPr>
                <w:spacing w:val="-3"/>
                <w:sz w:val="24"/>
              </w:rPr>
              <w:t> </w:t>
            </w:r>
            <w:r>
              <w:rPr>
                <w:sz w:val="24"/>
              </w:rPr>
              <w:t>Section</w:t>
            </w:r>
            <w:r>
              <w:rPr>
                <w:spacing w:val="-3"/>
                <w:sz w:val="24"/>
              </w:rPr>
              <w:t> </w:t>
            </w:r>
            <w:r>
              <w:rPr>
                <w:sz w:val="24"/>
              </w:rPr>
              <w:t>III:</w:t>
            </w:r>
            <w:r>
              <w:rPr>
                <w:spacing w:val="-3"/>
                <w:sz w:val="24"/>
              </w:rPr>
              <w:t> </w:t>
            </w:r>
            <w:r>
              <w:rPr>
                <w:sz w:val="24"/>
              </w:rPr>
              <w:t>Account</w:t>
            </w:r>
            <w:r>
              <w:rPr>
                <w:spacing w:val="-3"/>
                <w:sz w:val="24"/>
              </w:rPr>
              <w:t> </w:t>
            </w:r>
            <w:r>
              <w:rPr>
                <w:spacing w:val="-2"/>
                <w:sz w:val="24"/>
              </w:rPr>
              <w:t>Transactions;</w:t>
            </w:r>
          </w:p>
          <w:p>
            <w:pPr>
              <w:pStyle w:val="TableParagraph"/>
              <w:numPr>
                <w:ilvl w:val="0"/>
                <w:numId w:val="35"/>
              </w:numPr>
              <w:tabs>
                <w:tab w:pos="328" w:val="left" w:leader="none"/>
              </w:tabs>
              <w:spacing w:line="213" w:lineRule="auto" w:before="12" w:after="0"/>
              <w:ind w:left="327" w:right="459" w:hanging="216"/>
              <w:jc w:val="left"/>
              <w:rPr>
                <w:sz w:val="24"/>
              </w:rPr>
            </w:pPr>
            <w:hyperlink r:id="rId14">
              <w:r>
                <w:rPr>
                  <w:color w:val="0000FF"/>
                  <w:sz w:val="24"/>
                  <w:u w:val="single" w:color="0000FF"/>
                </w:rPr>
                <w:t>USSGL</w:t>
              </w:r>
            </w:hyperlink>
            <w:r>
              <w:rPr>
                <w:sz w:val="24"/>
              </w:rPr>
              <w:t>, Section IV: Account Attributes for USSGL Proprietary</w:t>
            </w:r>
            <w:r>
              <w:rPr>
                <w:spacing w:val="-11"/>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7"/>
                <w:sz w:val="24"/>
              </w:rPr>
              <w:t> </w:t>
            </w:r>
            <w:r>
              <w:rPr>
                <w:sz w:val="24"/>
              </w:rPr>
              <w:t>Reporting;</w:t>
            </w:r>
          </w:p>
          <w:p>
            <w:pPr>
              <w:pStyle w:val="TableParagraph"/>
              <w:numPr>
                <w:ilvl w:val="0"/>
                <w:numId w:val="35"/>
              </w:numPr>
              <w:tabs>
                <w:tab w:pos="328" w:val="left" w:leader="none"/>
              </w:tabs>
              <w:spacing w:line="213" w:lineRule="auto" w:before="5" w:after="0"/>
              <w:ind w:left="327" w:right="287" w:hanging="216"/>
              <w:jc w:val="left"/>
              <w:rPr>
                <w:sz w:val="24"/>
              </w:rPr>
            </w:pPr>
            <w:r>
              <w:rPr>
                <w:sz w:val="24"/>
              </w:rPr>
              <w:t>TFM</w:t>
            </w:r>
            <w:r>
              <w:rPr>
                <w:spacing w:val="-4"/>
                <w:sz w:val="24"/>
              </w:rPr>
              <w:t> </w:t>
            </w:r>
            <w:hyperlink r:id="rId15">
              <w:r>
                <w:rPr>
                  <w:color w:val="0000FF"/>
                  <w:sz w:val="24"/>
                  <w:u w:val="single" w:color="0000FF"/>
                </w:rPr>
                <w:t>Volume</w:t>
              </w:r>
              <w:r>
                <w:rPr>
                  <w:color w:val="0000FF"/>
                  <w:spacing w:val="-5"/>
                  <w:sz w:val="24"/>
                  <w:u w:val="single" w:color="0000FF"/>
                </w:rPr>
                <w:t> </w:t>
              </w:r>
              <w:r>
                <w:rPr>
                  <w:color w:val="0000FF"/>
                  <w:sz w:val="24"/>
                  <w:u w:val="single" w:color="0000FF"/>
                </w:rPr>
                <w:t>I,</w:t>
              </w:r>
              <w:r>
                <w:rPr>
                  <w:color w:val="0000FF"/>
                  <w:spacing w:val="-6"/>
                  <w:sz w:val="24"/>
                  <w:u w:val="single" w:color="0000FF"/>
                </w:rPr>
                <w:t> </w:t>
              </w:r>
              <w:r>
                <w:rPr>
                  <w:color w:val="0000FF"/>
                  <w:sz w:val="24"/>
                  <w:u w:val="single" w:color="0000FF"/>
                </w:rPr>
                <w:t>Part</w:t>
              </w:r>
              <w:r>
                <w:rPr>
                  <w:color w:val="0000FF"/>
                  <w:spacing w:val="-6"/>
                  <w:sz w:val="24"/>
                  <w:u w:val="single" w:color="0000FF"/>
                </w:rPr>
                <w:t> </w:t>
              </w:r>
              <w:r>
                <w:rPr>
                  <w:color w:val="0000FF"/>
                  <w:sz w:val="24"/>
                  <w:u w:val="single" w:color="0000FF"/>
                </w:rPr>
                <w:t>6,</w:t>
              </w:r>
              <w:r>
                <w:rPr>
                  <w:color w:val="0000FF"/>
                  <w:spacing w:val="-5"/>
                  <w:sz w:val="24"/>
                  <w:u w:val="single" w:color="0000FF"/>
                </w:rPr>
                <w:t> </w:t>
              </w:r>
              <w:r>
                <w:rPr>
                  <w:color w:val="0000FF"/>
                  <w:sz w:val="24"/>
                  <w:u w:val="single" w:color="0000FF"/>
                </w:rPr>
                <w:t>Chapter</w:t>
              </w:r>
              <w:r>
                <w:rPr>
                  <w:color w:val="0000FF"/>
                  <w:spacing w:val="-6"/>
                  <w:sz w:val="24"/>
                  <w:u w:val="single" w:color="0000FF"/>
                </w:rPr>
                <w:t> </w:t>
              </w:r>
              <w:r>
                <w:rPr>
                  <w:color w:val="0000FF"/>
                  <w:sz w:val="24"/>
                  <w:u w:val="single" w:color="0000FF"/>
                </w:rPr>
                <w:t>2100</w:t>
              </w:r>
            </w:hyperlink>
            <w:r>
              <w:rPr>
                <w:color w:val="0000FF"/>
                <w:spacing w:val="-5"/>
                <w:sz w:val="24"/>
                <w:u w:val="single" w:color="0000FF"/>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bl>
    <w:p>
      <w:pPr>
        <w:spacing w:after="0" w:line="213" w:lineRule="auto"/>
        <w:jc w:val="left"/>
        <w:rPr>
          <w:sz w:val="24"/>
        </w:rPr>
        <w:sectPr>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5609" w:hRule="atLeast"/>
        </w:trPr>
        <w:tc>
          <w:tcPr>
            <w:tcW w:w="1525" w:type="dxa"/>
          </w:tcPr>
          <w:p>
            <w:pPr>
              <w:pStyle w:val="TableParagraph"/>
              <w:spacing w:line="244" w:lineRule="exact"/>
              <w:ind w:left="107"/>
              <w:rPr>
                <w:sz w:val="24"/>
              </w:rPr>
            </w:pPr>
            <w:r>
              <w:rPr>
                <w:spacing w:val="-4"/>
                <w:sz w:val="24"/>
              </w:rPr>
              <w:t>2.1.3</w:t>
            </w:r>
          </w:p>
        </w:tc>
        <w:tc>
          <w:tcPr>
            <w:tcW w:w="1761" w:type="dxa"/>
          </w:tcPr>
          <w:p>
            <w:pPr>
              <w:pStyle w:val="TableParagraph"/>
              <w:spacing w:line="216" w:lineRule="auto"/>
              <w:ind w:left="108" w:right="412"/>
              <w:rPr>
                <w:sz w:val="24"/>
              </w:rPr>
            </w:pPr>
            <w:r>
              <w:rPr>
                <w:spacing w:val="-2"/>
                <w:sz w:val="24"/>
              </w:rPr>
              <w:t>Reporting Budgetary Resources </w:t>
            </w:r>
            <w:r>
              <w:rPr>
                <w:sz w:val="24"/>
              </w:rPr>
              <w:t>and</w:t>
            </w:r>
            <w:r>
              <w:rPr>
                <w:spacing w:val="-17"/>
                <w:sz w:val="24"/>
              </w:rPr>
              <w:t> </w:t>
            </w:r>
            <w:r>
              <w:rPr>
                <w:sz w:val="24"/>
              </w:rPr>
              <w:t>Budget </w:t>
            </w:r>
            <w:r>
              <w:rPr>
                <w:spacing w:val="-2"/>
                <w:sz w:val="24"/>
              </w:rPr>
              <w:t>Execution</w:t>
            </w:r>
          </w:p>
        </w:tc>
        <w:tc>
          <w:tcPr>
            <w:tcW w:w="1984" w:type="dxa"/>
          </w:tcPr>
          <w:p>
            <w:pPr>
              <w:pStyle w:val="TableParagraph"/>
              <w:spacing w:line="244" w:lineRule="exact"/>
              <w:ind w:left="107"/>
              <w:rPr>
                <w:sz w:val="24"/>
              </w:rPr>
            </w:pPr>
            <w:r>
              <w:rPr>
                <w:spacing w:val="-2"/>
                <w:sz w:val="24"/>
              </w:rPr>
              <w:t>2.1.3.1</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45"/>
              <w:rPr>
                <w:sz w:val="24"/>
              </w:rPr>
            </w:pPr>
            <w:r>
              <w:rPr>
                <w:sz w:val="24"/>
              </w:rPr>
              <w:t>Provide reviewed and approved budgetary resource and budget execution data to support budget reporting</w:t>
            </w:r>
            <w:r>
              <w:rPr>
                <w:spacing w:val="-3"/>
                <w:sz w:val="24"/>
              </w:rPr>
              <w:t> </w:t>
            </w:r>
            <w:r>
              <w:rPr>
                <w:sz w:val="24"/>
              </w:rPr>
              <w:t>activities</w:t>
            </w:r>
            <w:r>
              <w:rPr>
                <w:spacing w:val="-3"/>
                <w:sz w:val="24"/>
              </w:rPr>
              <w:t> </w:t>
            </w:r>
            <w:r>
              <w:rPr>
                <w:sz w:val="24"/>
              </w:rPr>
              <w:t>as</w:t>
            </w:r>
            <w:r>
              <w:rPr>
                <w:spacing w:val="-3"/>
                <w:sz w:val="24"/>
              </w:rPr>
              <w:t> </w:t>
            </w:r>
            <w:r>
              <w:rPr>
                <w:sz w:val="24"/>
              </w:rPr>
              <w:t>specified</w:t>
            </w:r>
            <w:r>
              <w:rPr>
                <w:spacing w:val="-3"/>
                <w:sz w:val="24"/>
              </w:rPr>
              <w:t> </w:t>
            </w:r>
            <w:r>
              <w:rPr>
                <w:sz w:val="24"/>
              </w:rPr>
              <w:t>in the</w:t>
            </w:r>
            <w:r>
              <w:rPr>
                <w:spacing w:val="-8"/>
                <w:sz w:val="24"/>
              </w:rPr>
              <w:t> </w:t>
            </w:r>
            <w:r>
              <w:rPr>
                <w:sz w:val="24"/>
              </w:rPr>
              <w:t>TFM,</w:t>
            </w:r>
            <w:r>
              <w:rPr>
                <w:spacing w:val="-9"/>
                <w:sz w:val="24"/>
              </w:rPr>
              <w:t> </w:t>
            </w:r>
            <w:r>
              <w:rPr>
                <w:sz w:val="24"/>
              </w:rPr>
              <w:t>OMB</w:t>
            </w:r>
            <w:r>
              <w:rPr>
                <w:spacing w:val="-8"/>
                <w:sz w:val="24"/>
              </w:rPr>
              <w:t> </w:t>
            </w:r>
            <w:r>
              <w:rPr>
                <w:sz w:val="24"/>
              </w:rPr>
              <w:t>Circular</w:t>
            </w:r>
            <w:r>
              <w:rPr>
                <w:spacing w:val="-7"/>
                <w:sz w:val="24"/>
              </w:rPr>
              <w:t> </w:t>
            </w:r>
            <w:r>
              <w:rPr>
                <w:sz w:val="24"/>
              </w:rPr>
              <w:t>No.</w:t>
            </w:r>
            <w:r>
              <w:rPr>
                <w:spacing w:val="-7"/>
                <w:sz w:val="24"/>
              </w:rPr>
              <w:t> </w:t>
            </w:r>
            <w:r>
              <w:rPr>
                <w:sz w:val="24"/>
              </w:rPr>
              <w:t>A-11, OMB</w:t>
            </w:r>
            <w:r>
              <w:rPr>
                <w:spacing w:val="-3"/>
                <w:sz w:val="24"/>
              </w:rPr>
              <w:t> </w:t>
            </w:r>
            <w:r>
              <w:rPr>
                <w:sz w:val="24"/>
              </w:rPr>
              <w:t>Circular</w:t>
            </w:r>
            <w:r>
              <w:rPr>
                <w:spacing w:val="-2"/>
                <w:sz w:val="24"/>
              </w:rPr>
              <w:t> </w:t>
            </w:r>
            <w:r>
              <w:rPr>
                <w:sz w:val="24"/>
              </w:rPr>
              <w:t>No.</w:t>
            </w:r>
            <w:r>
              <w:rPr>
                <w:spacing w:val="-2"/>
                <w:sz w:val="24"/>
              </w:rPr>
              <w:t> </w:t>
            </w:r>
            <w:r>
              <w:rPr>
                <w:sz w:val="24"/>
              </w:rPr>
              <w:t>A-136,</w:t>
            </w:r>
            <w:r>
              <w:rPr>
                <w:spacing w:val="-3"/>
                <w:sz w:val="24"/>
              </w:rPr>
              <w:t> </w:t>
            </w:r>
            <w:r>
              <w:rPr>
                <w:sz w:val="24"/>
              </w:rPr>
              <w:t>and</w:t>
            </w:r>
            <w:r>
              <w:rPr>
                <w:spacing w:val="-3"/>
                <w:sz w:val="24"/>
              </w:rPr>
              <w:t> </w:t>
            </w:r>
            <w:r>
              <w:rPr>
                <w:sz w:val="24"/>
              </w:rPr>
              <w:t>the FASAB Handbook.</w:t>
            </w:r>
          </w:p>
        </w:tc>
        <w:tc>
          <w:tcPr>
            <w:tcW w:w="6628" w:type="dxa"/>
          </w:tcPr>
          <w:p>
            <w:pPr>
              <w:pStyle w:val="TableParagraph"/>
              <w:numPr>
                <w:ilvl w:val="0"/>
                <w:numId w:val="36"/>
              </w:numPr>
              <w:tabs>
                <w:tab w:pos="328" w:val="left" w:leader="none"/>
              </w:tabs>
              <w:spacing w:line="216" w:lineRule="auto" w:before="0" w:after="0"/>
              <w:ind w:left="327" w:right="447" w:hanging="216"/>
              <w:jc w:val="left"/>
              <w:rPr>
                <w:sz w:val="24"/>
              </w:rPr>
            </w:pPr>
            <w:hyperlink r:id="rId41">
              <w:r>
                <w:rPr>
                  <w:color w:val="0000FF"/>
                  <w:sz w:val="24"/>
                </w:rPr>
                <w:t>OMB</w:t>
              </w:r>
            </w:hyperlink>
            <w:r>
              <w:rPr>
                <w:color w:val="0000FF"/>
                <w:sz w:val="24"/>
              </w:rPr>
              <w:t> </w:t>
            </w:r>
            <w:r>
              <w:rPr>
                <w:sz w:val="24"/>
              </w:rPr>
              <w:t>Circular No. A-11, Preparation, Submission and Execution</w:t>
            </w:r>
            <w:r>
              <w:rPr>
                <w:spacing w:val="-5"/>
                <w:sz w:val="24"/>
              </w:rPr>
              <w:t> </w:t>
            </w:r>
            <w:r>
              <w:rPr>
                <w:sz w:val="24"/>
              </w:rPr>
              <w:t>of</w:t>
            </w:r>
            <w:r>
              <w:rPr>
                <w:spacing w:val="-5"/>
                <w:sz w:val="24"/>
              </w:rPr>
              <w:t> </w:t>
            </w:r>
            <w:r>
              <w:rPr>
                <w:sz w:val="24"/>
              </w:rPr>
              <w:t>the</w:t>
            </w:r>
            <w:r>
              <w:rPr>
                <w:spacing w:val="-5"/>
                <w:sz w:val="24"/>
              </w:rPr>
              <w:t> </w:t>
            </w:r>
            <w:r>
              <w:rPr>
                <w:sz w:val="24"/>
              </w:rPr>
              <w:t>Budget,</w:t>
            </w:r>
            <w:r>
              <w:rPr>
                <w:spacing w:val="-5"/>
                <w:sz w:val="24"/>
              </w:rPr>
              <w:t> </w:t>
            </w:r>
            <w:r>
              <w:rPr>
                <w:sz w:val="24"/>
              </w:rPr>
              <w:t>Part</w:t>
            </w:r>
            <w:r>
              <w:rPr>
                <w:spacing w:val="-6"/>
                <w:sz w:val="24"/>
              </w:rPr>
              <w:t> </w:t>
            </w:r>
            <w:r>
              <w:rPr>
                <w:sz w:val="24"/>
              </w:rPr>
              <w:t>4,</w:t>
            </w:r>
            <w:r>
              <w:rPr>
                <w:spacing w:val="-6"/>
                <w:sz w:val="24"/>
              </w:rPr>
              <w:t> </w:t>
            </w:r>
            <w:r>
              <w:rPr>
                <w:sz w:val="24"/>
              </w:rPr>
              <w:t>Instructions</w:t>
            </w:r>
            <w:r>
              <w:rPr>
                <w:spacing w:val="-5"/>
                <w:sz w:val="24"/>
              </w:rPr>
              <w:t> </w:t>
            </w:r>
            <w:r>
              <w:rPr>
                <w:sz w:val="24"/>
              </w:rPr>
              <w:t>on</w:t>
            </w:r>
            <w:r>
              <w:rPr>
                <w:spacing w:val="-5"/>
                <w:sz w:val="24"/>
              </w:rPr>
              <w:t> </w:t>
            </w:r>
            <w:r>
              <w:rPr>
                <w:sz w:val="24"/>
              </w:rPr>
              <w:t>Budget </w:t>
            </w:r>
            <w:r>
              <w:rPr>
                <w:spacing w:val="-2"/>
                <w:sz w:val="24"/>
              </w:rPr>
              <w:t>Execution;</w:t>
            </w:r>
          </w:p>
          <w:p>
            <w:pPr>
              <w:pStyle w:val="TableParagraph"/>
              <w:numPr>
                <w:ilvl w:val="0"/>
                <w:numId w:val="36"/>
              </w:numPr>
              <w:tabs>
                <w:tab w:pos="328" w:val="left" w:leader="none"/>
              </w:tabs>
              <w:spacing w:line="216" w:lineRule="auto" w:before="0" w:after="0"/>
              <w:ind w:left="327" w:right="447" w:hanging="216"/>
              <w:jc w:val="left"/>
              <w:rPr>
                <w:sz w:val="24"/>
              </w:rPr>
            </w:pPr>
            <w:hyperlink r:id="rId41">
              <w:r>
                <w:rPr>
                  <w:color w:val="0000FF"/>
                  <w:sz w:val="24"/>
                </w:rPr>
                <w:t>OMB</w:t>
              </w:r>
            </w:hyperlink>
            <w:r>
              <w:rPr>
                <w:color w:val="0000FF"/>
                <w:sz w:val="24"/>
              </w:rPr>
              <w:t> </w:t>
            </w:r>
            <w:r>
              <w:rPr>
                <w:sz w:val="24"/>
              </w:rPr>
              <w:t>Circular No. A-11, Preparation, Submission and Execution</w:t>
            </w:r>
            <w:r>
              <w:rPr>
                <w:spacing w:val="-5"/>
                <w:sz w:val="24"/>
              </w:rPr>
              <w:t> </w:t>
            </w:r>
            <w:r>
              <w:rPr>
                <w:sz w:val="24"/>
              </w:rPr>
              <w:t>of</w:t>
            </w:r>
            <w:r>
              <w:rPr>
                <w:spacing w:val="-5"/>
                <w:sz w:val="24"/>
              </w:rPr>
              <w:t> </w:t>
            </w:r>
            <w:r>
              <w:rPr>
                <w:sz w:val="24"/>
              </w:rPr>
              <w:t>the</w:t>
            </w:r>
            <w:r>
              <w:rPr>
                <w:spacing w:val="-5"/>
                <w:sz w:val="24"/>
              </w:rPr>
              <w:t> </w:t>
            </w:r>
            <w:r>
              <w:rPr>
                <w:sz w:val="24"/>
              </w:rPr>
              <w:t>Budget,</w:t>
            </w:r>
            <w:r>
              <w:rPr>
                <w:spacing w:val="-5"/>
                <w:sz w:val="24"/>
              </w:rPr>
              <w:t> </w:t>
            </w:r>
            <w:r>
              <w:rPr>
                <w:sz w:val="24"/>
              </w:rPr>
              <w:t>Part</w:t>
            </w:r>
            <w:r>
              <w:rPr>
                <w:spacing w:val="-6"/>
                <w:sz w:val="24"/>
              </w:rPr>
              <w:t> </w:t>
            </w:r>
            <w:r>
              <w:rPr>
                <w:sz w:val="24"/>
              </w:rPr>
              <w:t>4,</w:t>
            </w:r>
            <w:r>
              <w:rPr>
                <w:spacing w:val="-6"/>
                <w:sz w:val="24"/>
              </w:rPr>
              <w:t> </w:t>
            </w:r>
            <w:r>
              <w:rPr>
                <w:sz w:val="24"/>
              </w:rPr>
              <w:t>Instructions</w:t>
            </w:r>
            <w:r>
              <w:rPr>
                <w:spacing w:val="-5"/>
                <w:sz w:val="24"/>
              </w:rPr>
              <w:t> </w:t>
            </w:r>
            <w:r>
              <w:rPr>
                <w:sz w:val="24"/>
              </w:rPr>
              <w:t>on</w:t>
            </w:r>
            <w:r>
              <w:rPr>
                <w:spacing w:val="-5"/>
                <w:sz w:val="24"/>
              </w:rPr>
              <w:t> </w:t>
            </w:r>
            <w:r>
              <w:rPr>
                <w:sz w:val="24"/>
              </w:rPr>
              <w:t>Budget Execution,</w:t>
            </w:r>
            <w:r>
              <w:rPr>
                <w:spacing w:val="-20"/>
                <w:sz w:val="24"/>
              </w:rPr>
              <w:t> </w:t>
            </w:r>
            <w:r>
              <w:rPr>
                <w:sz w:val="24"/>
              </w:rPr>
              <w:t>Section</w:t>
            </w:r>
          </w:p>
          <w:p>
            <w:pPr>
              <w:pStyle w:val="TableParagraph"/>
              <w:numPr>
                <w:ilvl w:val="0"/>
                <w:numId w:val="36"/>
              </w:numPr>
              <w:tabs>
                <w:tab w:pos="328" w:val="left" w:leader="none"/>
              </w:tabs>
              <w:spacing w:line="255" w:lineRule="exact" w:before="0" w:after="0"/>
              <w:ind w:left="327" w:right="0" w:hanging="217"/>
              <w:jc w:val="left"/>
              <w:rPr>
                <w:sz w:val="24"/>
              </w:rPr>
            </w:pPr>
            <w:r>
              <w:rPr>
                <w:spacing w:val="-2"/>
                <w:sz w:val="24"/>
              </w:rPr>
              <w:t>120.29</w:t>
            </w:r>
          </w:p>
          <w:p>
            <w:pPr>
              <w:pStyle w:val="TableParagraph"/>
              <w:numPr>
                <w:ilvl w:val="0"/>
                <w:numId w:val="36"/>
              </w:numPr>
              <w:tabs>
                <w:tab w:pos="328" w:val="left" w:leader="none"/>
              </w:tabs>
              <w:spacing w:line="216" w:lineRule="auto" w:before="1" w:after="0"/>
              <w:ind w:left="327" w:right="325" w:hanging="216"/>
              <w:jc w:val="left"/>
              <w:rPr>
                <w:sz w:val="24"/>
              </w:rPr>
            </w:pPr>
            <w:hyperlink r:id="rId41">
              <w:r>
                <w:rPr>
                  <w:color w:val="0000FF"/>
                  <w:sz w:val="24"/>
                </w:rPr>
                <w:t>OMB</w:t>
              </w:r>
            </w:hyperlink>
            <w:r>
              <w:rPr>
                <w:color w:val="0000FF"/>
                <w:sz w:val="24"/>
              </w:rPr>
              <w:t> </w:t>
            </w:r>
            <w:r>
              <w:rPr>
                <w:sz w:val="24"/>
              </w:rPr>
              <w:t>Circular No. A-11, Preparation, Submission and Execution</w:t>
            </w:r>
            <w:r>
              <w:rPr>
                <w:spacing w:val="-4"/>
                <w:sz w:val="24"/>
              </w:rPr>
              <w:t> </w:t>
            </w:r>
            <w:r>
              <w:rPr>
                <w:sz w:val="24"/>
              </w:rPr>
              <w:t>of</w:t>
            </w:r>
            <w:r>
              <w:rPr>
                <w:spacing w:val="-5"/>
                <w:sz w:val="24"/>
              </w:rPr>
              <w:t> </w:t>
            </w:r>
            <w:r>
              <w:rPr>
                <w:sz w:val="24"/>
              </w:rPr>
              <w:t>the</w:t>
            </w:r>
            <w:r>
              <w:rPr>
                <w:spacing w:val="-5"/>
                <w:sz w:val="24"/>
              </w:rPr>
              <w:t> </w:t>
            </w:r>
            <w:r>
              <w:rPr>
                <w:sz w:val="24"/>
              </w:rPr>
              <w:t>Budget,</w:t>
            </w:r>
            <w:r>
              <w:rPr>
                <w:spacing w:val="-4"/>
                <w:sz w:val="24"/>
              </w:rPr>
              <w:t> </w:t>
            </w:r>
            <w:r>
              <w:rPr>
                <w:sz w:val="24"/>
              </w:rPr>
              <w:t>Appendix</w:t>
            </w:r>
            <w:r>
              <w:rPr>
                <w:spacing w:val="-5"/>
                <w:sz w:val="24"/>
              </w:rPr>
              <w:t> </w:t>
            </w:r>
            <w:r>
              <w:rPr>
                <w:sz w:val="24"/>
              </w:rPr>
              <w:t>F,</w:t>
            </w:r>
            <w:r>
              <w:rPr>
                <w:spacing w:val="-4"/>
                <w:sz w:val="24"/>
              </w:rPr>
              <w:t> </w:t>
            </w:r>
            <w:r>
              <w:rPr>
                <w:sz w:val="24"/>
              </w:rPr>
              <w:t>Format</w:t>
            </w:r>
            <w:r>
              <w:rPr>
                <w:spacing w:val="-6"/>
                <w:sz w:val="24"/>
              </w:rPr>
              <w:t> </w:t>
            </w:r>
            <w:r>
              <w:rPr>
                <w:sz w:val="24"/>
              </w:rPr>
              <w:t>of</w:t>
            </w:r>
            <w:r>
              <w:rPr>
                <w:spacing w:val="-5"/>
                <w:sz w:val="24"/>
              </w:rPr>
              <w:t> </w:t>
            </w:r>
            <w:r>
              <w:rPr>
                <w:sz w:val="24"/>
              </w:rPr>
              <w:t>SF</w:t>
            </w:r>
            <w:r>
              <w:rPr>
                <w:spacing w:val="-5"/>
                <w:sz w:val="24"/>
              </w:rPr>
              <w:t> </w:t>
            </w:r>
            <w:r>
              <w:rPr>
                <w:sz w:val="24"/>
              </w:rPr>
              <w:t>132, SF 133, Schedule P, and</w:t>
            </w:r>
            <w:r>
              <w:rPr>
                <w:spacing w:val="-3"/>
                <w:sz w:val="24"/>
              </w:rPr>
              <w:t> </w:t>
            </w:r>
            <w:r>
              <w:rPr>
                <w:sz w:val="24"/>
              </w:rPr>
              <w:t>SBR;</w:t>
            </w:r>
          </w:p>
          <w:p>
            <w:pPr>
              <w:pStyle w:val="TableParagraph"/>
              <w:numPr>
                <w:ilvl w:val="0"/>
                <w:numId w:val="36"/>
              </w:numPr>
              <w:tabs>
                <w:tab w:pos="328" w:val="left" w:leader="none"/>
              </w:tabs>
              <w:spacing w:line="216" w:lineRule="auto" w:before="0" w:after="0"/>
              <w:ind w:left="327" w:right="553" w:hanging="216"/>
              <w:jc w:val="left"/>
              <w:rPr>
                <w:sz w:val="24"/>
              </w:rPr>
            </w:pPr>
            <w:hyperlink r:id="rId41">
              <w:r>
                <w:rPr>
                  <w:color w:val="0000FF"/>
                  <w:sz w:val="24"/>
                </w:rPr>
                <w:t>OMB</w:t>
              </w:r>
            </w:hyperlink>
            <w:r>
              <w:rPr>
                <w:color w:val="0000FF"/>
                <w:sz w:val="24"/>
              </w:rPr>
              <w:t> </w:t>
            </w:r>
            <w:r>
              <w:rPr>
                <w:sz w:val="24"/>
              </w:rPr>
              <w:t>Circular No. A-136, Financial Reporting Requirements,</w:t>
            </w:r>
            <w:r>
              <w:rPr>
                <w:spacing w:val="-7"/>
                <w:sz w:val="24"/>
              </w:rPr>
              <w:t> </w:t>
            </w:r>
            <w:r>
              <w:rPr>
                <w:sz w:val="24"/>
              </w:rPr>
              <w:t>Number</w:t>
            </w:r>
            <w:r>
              <w:rPr>
                <w:spacing w:val="-8"/>
                <w:sz w:val="24"/>
              </w:rPr>
              <w:t> </w:t>
            </w:r>
            <w:r>
              <w:rPr>
                <w:sz w:val="24"/>
              </w:rPr>
              <w:t>II.3.5,</w:t>
            </w:r>
            <w:r>
              <w:rPr>
                <w:spacing w:val="-7"/>
                <w:sz w:val="24"/>
              </w:rPr>
              <w:t> </w:t>
            </w:r>
            <w:r>
              <w:rPr>
                <w:sz w:val="24"/>
              </w:rPr>
              <w:t>Statement</w:t>
            </w:r>
            <w:r>
              <w:rPr>
                <w:spacing w:val="-8"/>
                <w:sz w:val="24"/>
              </w:rPr>
              <w:t> </w:t>
            </w:r>
            <w:r>
              <w:rPr>
                <w:sz w:val="24"/>
              </w:rPr>
              <w:t>of</w:t>
            </w:r>
            <w:r>
              <w:rPr>
                <w:spacing w:val="-9"/>
                <w:sz w:val="24"/>
              </w:rPr>
              <w:t> </w:t>
            </w:r>
            <w:r>
              <w:rPr>
                <w:sz w:val="24"/>
              </w:rPr>
              <w:t>Budgetary </w:t>
            </w:r>
            <w:r>
              <w:rPr>
                <w:spacing w:val="-2"/>
                <w:sz w:val="24"/>
              </w:rPr>
              <w:t>Resources;</w:t>
            </w:r>
          </w:p>
          <w:p>
            <w:pPr>
              <w:pStyle w:val="TableParagraph"/>
              <w:numPr>
                <w:ilvl w:val="0"/>
                <w:numId w:val="36"/>
              </w:numPr>
              <w:tabs>
                <w:tab w:pos="328" w:val="left" w:leader="none"/>
              </w:tabs>
              <w:spacing w:line="216" w:lineRule="auto" w:before="1" w:after="0"/>
              <w:ind w:left="327" w:right="499" w:hanging="216"/>
              <w:jc w:val="left"/>
              <w:rPr>
                <w:sz w:val="24"/>
              </w:rPr>
            </w:pPr>
            <w:r>
              <w:rPr>
                <w:sz w:val="24"/>
              </w:rPr>
              <w:t>TFM</w:t>
            </w:r>
            <w:r>
              <w:rPr>
                <w:spacing w:val="-4"/>
                <w:sz w:val="24"/>
              </w:rPr>
              <w:t> </w:t>
            </w:r>
            <w:hyperlink r:id="rId51">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7"/>
                  <w:sz w:val="24"/>
                </w:rPr>
                <w:t> </w:t>
              </w:r>
              <w:r>
                <w:rPr>
                  <w:color w:val="0000FF"/>
                  <w:sz w:val="24"/>
                </w:rPr>
                <w:t>2,</w:t>
              </w:r>
              <w:r>
                <w:rPr>
                  <w:color w:val="0000FF"/>
                  <w:spacing w:val="-5"/>
                  <w:sz w:val="24"/>
                </w:rPr>
                <w:t> </w:t>
              </w:r>
              <w:r>
                <w:rPr>
                  <w:color w:val="0000FF"/>
                  <w:sz w:val="24"/>
                </w:rPr>
                <w:t>Chapter</w:t>
              </w:r>
              <w:r>
                <w:rPr>
                  <w:color w:val="0000FF"/>
                  <w:spacing w:val="-6"/>
                  <w:sz w:val="24"/>
                </w:rPr>
                <w:t> </w:t>
              </w:r>
              <w:r>
                <w:rPr>
                  <w:color w:val="0000FF"/>
                  <w:sz w:val="24"/>
                </w:rPr>
                <w:t>4200</w:t>
              </w:r>
            </w:hyperlink>
            <w:r>
              <w:rPr>
                <w:color w:val="0000FF"/>
                <w:spacing w:val="-5"/>
                <w:sz w:val="24"/>
              </w:rPr>
              <w:t> </w:t>
            </w:r>
            <w:r>
              <w:rPr>
                <w:sz w:val="24"/>
              </w:rPr>
              <w:t>Agency</w:t>
            </w:r>
            <w:r>
              <w:rPr>
                <w:spacing w:val="-5"/>
                <w:sz w:val="24"/>
              </w:rPr>
              <w:t> </w:t>
            </w:r>
            <w:r>
              <w:rPr>
                <w:sz w:val="24"/>
              </w:rPr>
              <w:t>Year-end Reporting on Unexpended Balances of Appropriation </w:t>
            </w:r>
            <w:r>
              <w:rPr>
                <w:spacing w:val="-2"/>
                <w:sz w:val="24"/>
              </w:rPr>
              <w:t>Accounts;</w:t>
            </w:r>
          </w:p>
          <w:p>
            <w:pPr>
              <w:pStyle w:val="TableParagraph"/>
              <w:numPr>
                <w:ilvl w:val="0"/>
                <w:numId w:val="36"/>
              </w:numPr>
              <w:tabs>
                <w:tab w:pos="328" w:val="left" w:leader="none"/>
              </w:tabs>
              <w:spacing w:line="213" w:lineRule="auto" w:before="1"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p>
            <w:pPr>
              <w:pStyle w:val="TableParagraph"/>
              <w:numPr>
                <w:ilvl w:val="0"/>
                <w:numId w:val="36"/>
              </w:numPr>
              <w:tabs>
                <w:tab w:pos="328" w:val="left" w:leader="none"/>
              </w:tabs>
              <w:spacing w:line="216" w:lineRule="auto" w:before="3" w:after="0"/>
              <w:ind w:left="327" w:right="378"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Sources and Concepts for Reconciling Budgetary and Financial</w:t>
            </w:r>
            <w:r>
              <w:rPr>
                <w:spacing w:val="-26"/>
                <w:sz w:val="24"/>
              </w:rPr>
              <w:t> </w:t>
            </w:r>
            <w:r>
              <w:rPr>
                <w:sz w:val="24"/>
              </w:rPr>
              <w:t>Accounting;</w:t>
            </w:r>
          </w:p>
          <w:p>
            <w:pPr>
              <w:pStyle w:val="TableParagraph"/>
              <w:numPr>
                <w:ilvl w:val="0"/>
                <w:numId w:val="36"/>
              </w:numPr>
              <w:tabs>
                <w:tab w:pos="328" w:val="left" w:leader="none"/>
              </w:tabs>
              <w:spacing w:line="253" w:lineRule="exact" w:before="0" w:after="0"/>
              <w:ind w:left="327" w:right="0" w:hanging="217"/>
              <w:jc w:val="left"/>
              <w:rPr>
                <w:sz w:val="24"/>
              </w:rPr>
            </w:pPr>
            <w:hyperlink r:id="rId29">
              <w:r>
                <w:rPr>
                  <w:color w:val="0000FF"/>
                  <w:sz w:val="24"/>
                </w:rPr>
                <w:t>SFFAS</w:t>
              </w:r>
              <w:r>
                <w:rPr>
                  <w:color w:val="0000FF"/>
                  <w:spacing w:val="-3"/>
                  <w:sz w:val="24"/>
                </w:rPr>
                <w:t> </w:t>
              </w:r>
              <w:r>
                <w:rPr>
                  <w:color w:val="0000FF"/>
                  <w:sz w:val="24"/>
                </w:rPr>
                <w:t>53</w:t>
              </w:r>
            </w:hyperlink>
            <w:r>
              <w:rPr>
                <w:sz w:val="24"/>
              </w:rPr>
              <w:t>:</w:t>
            </w:r>
            <w:r>
              <w:rPr>
                <w:spacing w:val="-3"/>
                <w:sz w:val="24"/>
              </w:rPr>
              <w:t> </w:t>
            </w:r>
            <w:r>
              <w:rPr>
                <w:sz w:val="24"/>
              </w:rPr>
              <w:t>Budget</w:t>
            </w:r>
            <w:r>
              <w:rPr>
                <w:spacing w:val="-3"/>
                <w:sz w:val="24"/>
              </w:rPr>
              <w:t> </w:t>
            </w:r>
            <w:r>
              <w:rPr>
                <w:sz w:val="24"/>
              </w:rPr>
              <w:t>and</w:t>
            </w:r>
            <w:r>
              <w:rPr>
                <w:spacing w:val="-3"/>
                <w:sz w:val="24"/>
              </w:rPr>
              <w:t> </w:t>
            </w:r>
            <w:r>
              <w:rPr>
                <w:sz w:val="24"/>
              </w:rPr>
              <w:t>Accrual</w:t>
            </w:r>
            <w:r>
              <w:rPr>
                <w:spacing w:val="-4"/>
                <w:sz w:val="24"/>
              </w:rPr>
              <w:t> </w:t>
            </w:r>
            <w:r>
              <w:rPr>
                <w:spacing w:val="-2"/>
                <w:sz w:val="24"/>
              </w:rPr>
              <w:t>Reconciliation.</w:t>
            </w:r>
          </w:p>
        </w:tc>
      </w:tr>
      <w:tr>
        <w:trPr>
          <w:trHeight w:val="2733" w:hRule="atLeast"/>
        </w:trPr>
        <w:tc>
          <w:tcPr>
            <w:tcW w:w="1525" w:type="dxa"/>
          </w:tcPr>
          <w:p>
            <w:pPr>
              <w:pStyle w:val="TableParagraph"/>
              <w:spacing w:line="245" w:lineRule="exact"/>
              <w:ind w:left="107"/>
              <w:rPr>
                <w:sz w:val="24"/>
              </w:rPr>
            </w:pPr>
            <w:r>
              <w:rPr>
                <w:spacing w:val="-4"/>
                <w:sz w:val="24"/>
              </w:rPr>
              <w:t>2.2.1</w:t>
            </w:r>
          </w:p>
        </w:tc>
        <w:tc>
          <w:tcPr>
            <w:tcW w:w="1761" w:type="dxa"/>
          </w:tcPr>
          <w:p>
            <w:pPr>
              <w:pStyle w:val="TableParagraph"/>
              <w:spacing w:line="216" w:lineRule="auto"/>
              <w:ind w:left="108"/>
              <w:rPr>
                <w:sz w:val="24"/>
              </w:rPr>
            </w:pPr>
            <w:r>
              <w:rPr>
                <w:spacing w:val="-2"/>
                <w:sz w:val="24"/>
              </w:rPr>
              <w:t>Establishing Payables</w:t>
            </w:r>
          </w:p>
        </w:tc>
        <w:tc>
          <w:tcPr>
            <w:tcW w:w="1984" w:type="dxa"/>
          </w:tcPr>
          <w:p>
            <w:pPr>
              <w:pStyle w:val="TableParagraph"/>
              <w:spacing w:line="245" w:lineRule="exact"/>
              <w:ind w:left="107"/>
              <w:rPr>
                <w:sz w:val="24"/>
              </w:rPr>
            </w:pPr>
            <w:r>
              <w:rPr>
                <w:spacing w:val="-2"/>
                <w:sz w:val="24"/>
              </w:rPr>
              <w:t>2.2.1.1</w:t>
            </w:r>
          </w:p>
        </w:tc>
        <w:tc>
          <w:tcPr>
            <w:tcW w:w="1534" w:type="dxa"/>
          </w:tcPr>
          <w:p>
            <w:pPr>
              <w:pStyle w:val="TableParagraph"/>
              <w:spacing w:line="245" w:lineRule="exact"/>
              <w:ind w:left="109"/>
              <w:rPr>
                <w:sz w:val="24"/>
              </w:rPr>
            </w:pPr>
            <w:r>
              <w:rPr>
                <w:spacing w:val="-5"/>
                <w:sz w:val="24"/>
              </w:rPr>
              <w:t>DI</w:t>
            </w:r>
          </w:p>
        </w:tc>
        <w:tc>
          <w:tcPr>
            <w:tcW w:w="3834" w:type="dxa"/>
          </w:tcPr>
          <w:p>
            <w:pPr>
              <w:pStyle w:val="TableParagraph"/>
              <w:spacing w:line="216" w:lineRule="auto"/>
              <w:ind w:left="110" w:right="97"/>
              <w:rPr>
                <w:sz w:val="24"/>
              </w:rPr>
            </w:pPr>
            <w:r>
              <w:rPr>
                <w:sz w:val="24"/>
              </w:rPr>
              <w:t>Capture federal government unique recipient information [for example, federal vendor registration attributes or grant recipient information] consistent with that required to support the payment management and invoice processing activities defined in 5 CFR 1315, Federal Acquisition</w:t>
            </w:r>
            <w:r>
              <w:rPr>
                <w:spacing w:val="-13"/>
                <w:sz w:val="24"/>
              </w:rPr>
              <w:t> </w:t>
            </w:r>
            <w:r>
              <w:rPr>
                <w:sz w:val="24"/>
              </w:rPr>
              <w:t>Regulation</w:t>
            </w:r>
            <w:r>
              <w:rPr>
                <w:spacing w:val="-13"/>
                <w:sz w:val="24"/>
              </w:rPr>
              <w:t> </w:t>
            </w:r>
            <w:r>
              <w:rPr>
                <w:sz w:val="24"/>
              </w:rPr>
              <w:t>(FAR),</w:t>
            </w:r>
            <w:r>
              <w:rPr>
                <w:spacing w:val="-13"/>
                <w:sz w:val="24"/>
              </w:rPr>
              <w:t> </w:t>
            </w:r>
            <w:r>
              <w:rPr>
                <w:sz w:val="24"/>
              </w:rPr>
              <w:t>and</w:t>
            </w:r>
          </w:p>
          <w:p>
            <w:pPr>
              <w:pStyle w:val="TableParagraph"/>
              <w:spacing w:line="238" w:lineRule="exact"/>
              <w:ind w:left="110"/>
              <w:rPr>
                <w:sz w:val="24"/>
              </w:rPr>
            </w:pPr>
            <w:r>
              <w:rPr>
                <w:sz w:val="24"/>
              </w:rPr>
              <w:t>the</w:t>
            </w:r>
            <w:r>
              <w:rPr>
                <w:spacing w:val="-1"/>
                <w:sz w:val="24"/>
              </w:rPr>
              <w:t> </w:t>
            </w:r>
            <w:r>
              <w:rPr>
                <w:spacing w:val="-4"/>
                <w:sz w:val="24"/>
              </w:rPr>
              <w:t>TFM.</w:t>
            </w:r>
          </w:p>
        </w:tc>
        <w:tc>
          <w:tcPr>
            <w:tcW w:w="6628" w:type="dxa"/>
          </w:tcPr>
          <w:p>
            <w:pPr>
              <w:pStyle w:val="TableParagraph"/>
              <w:numPr>
                <w:ilvl w:val="0"/>
                <w:numId w:val="37"/>
              </w:numPr>
              <w:tabs>
                <w:tab w:pos="328" w:val="left" w:leader="none"/>
              </w:tabs>
              <w:spacing w:line="213" w:lineRule="auto" w:before="0" w:after="0"/>
              <w:ind w:left="327" w:right="234" w:hanging="216"/>
              <w:jc w:val="left"/>
              <w:rPr>
                <w:sz w:val="24"/>
              </w:rPr>
            </w:pPr>
            <w:r>
              <w:rPr>
                <w:sz w:val="24"/>
              </w:rPr>
              <w:t>TFM</w:t>
            </w:r>
            <w:r>
              <w:rPr>
                <w:spacing w:val="-4"/>
                <w:sz w:val="24"/>
              </w:rPr>
              <w:t> </w:t>
            </w:r>
            <w:hyperlink r:id="rId52">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7"/>
                  <w:sz w:val="24"/>
                </w:rPr>
                <w:t> </w:t>
              </w:r>
              <w:r>
                <w:rPr>
                  <w:color w:val="0000FF"/>
                  <w:sz w:val="24"/>
                </w:rPr>
                <w:t>4A,</w:t>
              </w:r>
              <w:r>
                <w:rPr>
                  <w:color w:val="0000FF"/>
                  <w:spacing w:val="-4"/>
                  <w:sz w:val="24"/>
                </w:rPr>
                <w:t> </w:t>
              </w:r>
              <w:r>
                <w:rPr>
                  <w:color w:val="0000FF"/>
                  <w:sz w:val="24"/>
                </w:rPr>
                <w:t>Chapter</w:t>
              </w:r>
              <w:r>
                <w:rPr>
                  <w:color w:val="0000FF"/>
                  <w:spacing w:val="-4"/>
                  <w:sz w:val="24"/>
                </w:rPr>
                <w:t> </w:t>
              </w:r>
              <w:r>
                <w:rPr>
                  <w:color w:val="0000FF"/>
                  <w:sz w:val="24"/>
                </w:rPr>
                <w:t>2000</w:t>
              </w:r>
            </w:hyperlink>
            <w:r>
              <w:rPr>
                <w:color w:val="0000FF"/>
                <w:spacing w:val="-5"/>
                <w:sz w:val="24"/>
              </w:rPr>
              <w:t> </w:t>
            </w:r>
            <w:r>
              <w:rPr>
                <w:sz w:val="24"/>
              </w:rPr>
              <w:t>Overall</w:t>
            </w:r>
            <w:r>
              <w:rPr>
                <w:spacing w:val="-6"/>
                <w:sz w:val="24"/>
              </w:rPr>
              <w:t> </w:t>
            </w:r>
            <w:r>
              <w:rPr>
                <w:sz w:val="24"/>
              </w:rPr>
              <w:t>Disbursing Rules for All Federal Agencies;</w:t>
            </w:r>
          </w:p>
          <w:p>
            <w:pPr>
              <w:pStyle w:val="TableParagraph"/>
              <w:numPr>
                <w:ilvl w:val="0"/>
                <w:numId w:val="37"/>
              </w:numPr>
              <w:tabs>
                <w:tab w:pos="328" w:val="left" w:leader="none"/>
              </w:tabs>
              <w:spacing w:line="258" w:lineRule="exact" w:before="0" w:after="0"/>
              <w:ind w:left="327" w:right="0" w:hanging="217"/>
              <w:jc w:val="left"/>
              <w:rPr>
                <w:sz w:val="24"/>
              </w:rPr>
            </w:pPr>
            <w:r>
              <w:rPr>
                <w:sz w:val="24"/>
              </w:rPr>
              <w:t>FAR</w:t>
            </w:r>
            <w:r>
              <w:rPr>
                <w:spacing w:val="-6"/>
                <w:sz w:val="24"/>
              </w:rPr>
              <w:t> </w:t>
            </w:r>
            <w:r>
              <w:rPr>
                <w:sz w:val="24"/>
              </w:rPr>
              <w:t>Subpart</w:t>
            </w:r>
            <w:r>
              <w:rPr>
                <w:spacing w:val="-2"/>
                <w:sz w:val="24"/>
              </w:rPr>
              <w:t> </w:t>
            </w:r>
            <w:r>
              <w:rPr>
                <w:sz w:val="24"/>
              </w:rPr>
              <w:t>4.11,</w:t>
            </w:r>
            <w:r>
              <w:rPr>
                <w:spacing w:val="-4"/>
                <w:sz w:val="24"/>
              </w:rPr>
              <w:t> </w:t>
            </w:r>
            <w:r>
              <w:rPr>
                <w:sz w:val="24"/>
              </w:rPr>
              <w:t>System</w:t>
            </w:r>
            <w:r>
              <w:rPr>
                <w:spacing w:val="-4"/>
                <w:sz w:val="24"/>
              </w:rPr>
              <w:t> </w:t>
            </w:r>
            <w:r>
              <w:rPr>
                <w:sz w:val="24"/>
              </w:rPr>
              <w:t>for</w:t>
            </w:r>
            <w:r>
              <w:rPr>
                <w:spacing w:val="-2"/>
                <w:sz w:val="24"/>
              </w:rPr>
              <w:t> </w:t>
            </w:r>
            <w:r>
              <w:rPr>
                <w:sz w:val="24"/>
              </w:rPr>
              <w:t>Award</w:t>
            </w:r>
            <w:r>
              <w:rPr>
                <w:spacing w:val="-3"/>
                <w:sz w:val="24"/>
              </w:rPr>
              <w:t> </w:t>
            </w:r>
            <w:r>
              <w:rPr>
                <w:sz w:val="24"/>
              </w:rPr>
              <w:t>Management</w:t>
            </w:r>
            <w:r>
              <w:rPr>
                <w:spacing w:val="-3"/>
                <w:sz w:val="24"/>
              </w:rPr>
              <w:t> </w:t>
            </w:r>
            <w:r>
              <w:rPr>
                <w:spacing w:val="-2"/>
                <w:sz w:val="24"/>
              </w:rPr>
              <w:t>(SAM)</w:t>
            </w:r>
          </w:p>
          <w:p>
            <w:pPr>
              <w:pStyle w:val="TableParagraph"/>
              <w:numPr>
                <w:ilvl w:val="0"/>
                <w:numId w:val="37"/>
              </w:numPr>
              <w:tabs>
                <w:tab w:pos="328" w:val="left" w:leader="none"/>
              </w:tabs>
              <w:spacing w:line="213" w:lineRule="auto" w:before="7" w:after="0"/>
              <w:ind w:left="327" w:right="954" w:hanging="216"/>
              <w:jc w:val="left"/>
              <w:rPr>
                <w:sz w:val="24"/>
              </w:rPr>
            </w:pPr>
            <w:r>
              <w:rPr>
                <w:sz w:val="24"/>
              </w:rPr>
              <w:t>5</w:t>
            </w:r>
            <w:r>
              <w:rPr>
                <w:spacing w:val="-7"/>
                <w:sz w:val="24"/>
              </w:rPr>
              <w:t> </w:t>
            </w:r>
            <w:r>
              <w:rPr>
                <w:sz w:val="24"/>
              </w:rPr>
              <w:t>CFR</w:t>
            </w:r>
            <w:r>
              <w:rPr>
                <w:spacing w:val="-7"/>
                <w:sz w:val="24"/>
              </w:rPr>
              <w:t> </w:t>
            </w:r>
            <w:r>
              <w:rPr>
                <w:sz w:val="24"/>
              </w:rPr>
              <w:t>1315.4,</w:t>
            </w:r>
            <w:r>
              <w:rPr>
                <w:spacing w:val="-7"/>
                <w:sz w:val="24"/>
              </w:rPr>
              <w:t> </w:t>
            </w:r>
            <w:r>
              <w:rPr>
                <w:sz w:val="24"/>
              </w:rPr>
              <w:t>Prompt</w:t>
            </w:r>
            <w:r>
              <w:rPr>
                <w:spacing w:val="-6"/>
                <w:sz w:val="24"/>
              </w:rPr>
              <w:t> </w:t>
            </w:r>
            <w:r>
              <w:rPr>
                <w:sz w:val="24"/>
              </w:rPr>
              <w:t>Payment,</w:t>
            </w:r>
            <w:r>
              <w:rPr>
                <w:spacing w:val="-9"/>
                <w:sz w:val="24"/>
              </w:rPr>
              <w:t> </w:t>
            </w:r>
            <w:r>
              <w:rPr>
                <w:sz w:val="24"/>
              </w:rPr>
              <w:t>Prompt</w:t>
            </w:r>
            <w:r>
              <w:rPr>
                <w:spacing w:val="-7"/>
                <w:sz w:val="24"/>
              </w:rPr>
              <w:t> </w:t>
            </w:r>
            <w:r>
              <w:rPr>
                <w:sz w:val="24"/>
              </w:rPr>
              <w:t>Payment Standards and Required Notices to Vendors</w:t>
            </w:r>
          </w:p>
          <w:p>
            <w:pPr>
              <w:pStyle w:val="TableParagraph"/>
              <w:numPr>
                <w:ilvl w:val="0"/>
                <w:numId w:val="37"/>
              </w:numPr>
              <w:tabs>
                <w:tab w:pos="328" w:val="left" w:leader="none"/>
              </w:tabs>
              <w:spacing w:line="213" w:lineRule="auto" w:before="5" w:after="0"/>
              <w:ind w:left="327" w:right="287" w:hanging="216"/>
              <w:jc w:val="left"/>
              <w:rPr>
                <w:sz w:val="24"/>
              </w:rPr>
            </w:pPr>
            <w:r>
              <w:rPr>
                <w:sz w:val="24"/>
              </w:rPr>
              <w:t>TFM</w:t>
            </w:r>
            <w:r>
              <w:rPr>
                <w:spacing w:val="-4"/>
                <w:sz w:val="24"/>
              </w:rPr>
              <w:t> </w:t>
            </w:r>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bl>
    <w:p>
      <w:pPr>
        <w:spacing w:after="0" w:line="213" w:lineRule="auto"/>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ind w:left="0"/>
              <w:rPr>
                <w:sz w:val="35"/>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3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ind w:left="0"/>
              <w:rPr>
                <w:sz w:val="35"/>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6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ind w:left="0"/>
              <w:rPr>
                <w:sz w:val="35"/>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ind w:left="0"/>
              <w:rPr>
                <w:sz w:val="35"/>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813"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53" w:lineRule="exact"/>
              <w:ind w:left="107"/>
              <w:rPr>
                <w:sz w:val="24"/>
              </w:rPr>
            </w:pPr>
            <w:r>
              <w:rPr>
                <w:spacing w:val="-2"/>
                <w:sz w:val="24"/>
              </w:rPr>
              <w:t>2.2.1.2</w:t>
            </w:r>
          </w:p>
        </w:tc>
        <w:tc>
          <w:tcPr>
            <w:tcW w:w="1534" w:type="dxa"/>
          </w:tcPr>
          <w:p>
            <w:pPr>
              <w:pStyle w:val="TableParagraph"/>
              <w:spacing w:line="253" w:lineRule="exact"/>
              <w:ind w:left="109"/>
              <w:rPr>
                <w:sz w:val="24"/>
              </w:rPr>
            </w:pPr>
            <w:r>
              <w:rPr>
                <w:spacing w:val="-5"/>
                <w:sz w:val="24"/>
              </w:rPr>
              <w:t>DI</w:t>
            </w:r>
          </w:p>
        </w:tc>
        <w:tc>
          <w:tcPr>
            <w:tcW w:w="3834" w:type="dxa"/>
          </w:tcPr>
          <w:p>
            <w:pPr>
              <w:pStyle w:val="TableParagraph"/>
              <w:spacing w:line="216" w:lineRule="auto"/>
              <w:ind w:left="110" w:right="145"/>
              <w:rPr>
                <w:sz w:val="24"/>
              </w:rPr>
            </w:pPr>
            <w:r>
              <w:rPr>
                <w:sz w:val="24"/>
              </w:rPr>
              <w:t>Capture federal government unique payment information (for example,</w:t>
            </w:r>
            <w:r>
              <w:rPr>
                <w:spacing w:val="-13"/>
                <w:sz w:val="24"/>
              </w:rPr>
              <w:t> </w:t>
            </w:r>
            <w:r>
              <w:rPr>
                <w:sz w:val="24"/>
              </w:rPr>
              <w:t>appropriation</w:t>
            </w:r>
            <w:r>
              <w:rPr>
                <w:spacing w:val="-13"/>
                <w:sz w:val="24"/>
              </w:rPr>
              <w:t> </w:t>
            </w:r>
            <w:r>
              <w:rPr>
                <w:sz w:val="24"/>
              </w:rPr>
              <w:t>and</w:t>
            </w:r>
            <w:r>
              <w:rPr>
                <w:spacing w:val="-13"/>
                <w:sz w:val="24"/>
              </w:rPr>
              <w:t> </w:t>
            </w:r>
            <w:r>
              <w:rPr>
                <w:sz w:val="24"/>
              </w:rPr>
              <w:t>fund) to support payment reports consistent with the TFM.</w:t>
            </w:r>
          </w:p>
        </w:tc>
        <w:tc>
          <w:tcPr>
            <w:tcW w:w="6628" w:type="dxa"/>
          </w:tcPr>
          <w:p>
            <w:pPr>
              <w:pStyle w:val="TableParagraph"/>
              <w:numPr>
                <w:ilvl w:val="0"/>
                <w:numId w:val="38"/>
              </w:numPr>
              <w:tabs>
                <w:tab w:pos="328" w:val="left" w:leader="none"/>
              </w:tabs>
              <w:spacing w:line="216" w:lineRule="auto" w:before="1" w:after="0"/>
              <w:ind w:left="327" w:right="234" w:hanging="216"/>
              <w:jc w:val="both"/>
              <w:rPr>
                <w:sz w:val="24"/>
              </w:rPr>
            </w:pPr>
            <w:r>
              <w:rPr>
                <w:sz w:val="24"/>
              </w:rPr>
              <w:t>TFM</w:t>
            </w:r>
            <w:r>
              <w:rPr>
                <w:spacing w:val="-4"/>
                <w:sz w:val="24"/>
              </w:rPr>
              <w:t> </w:t>
            </w:r>
            <w:hyperlink r:id="rId52">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7"/>
                  <w:sz w:val="24"/>
                </w:rPr>
                <w:t> </w:t>
              </w:r>
              <w:r>
                <w:rPr>
                  <w:color w:val="0000FF"/>
                  <w:sz w:val="24"/>
                </w:rPr>
                <w:t>4A,</w:t>
              </w:r>
              <w:r>
                <w:rPr>
                  <w:color w:val="0000FF"/>
                  <w:spacing w:val="-4"/>
                  <w:sz w:val="24"/>
                </w:rPr>
                <w:t> </w:t>
              </w:r>
              <w:r>
                <w:rPr>
                  <w:color w:val="0000FF"/>
                  <w:sz w:val="24"/>
                </w:rPr>
                <w:t>Chapter</w:t>
              </w:r>
              <w:r>
                <w:rPr>
                  <w:color w:val="0000FF"/>
                  <w:spacing w:val="-4"/>
                  <w:sz w:val="24"/>
                </w:rPr>
                <w:t> </w:t>
              </w:r>
              <w:r>
                <w:rPr>
                  <w:color w:val="0000FF"/>
                  <w:sz w:val="24"/>
                </w:rPr>
                <w:t>2000</w:t>
              </w:r>
            </w:hyperlink>
            <w:r>
              <w:rPr>
                <w:color w:val="0000FF"/>
                <w:spacing w:val="-5"/>
                <w:sz w:val="24"/>
              </w:rPr>
              <w:t> </w:t>
            </w:r>
            <w:r>
              <w:rPr>
                <w:sz w:val="24"/>
              </w:rPr>
              <w:t>Overall</w:t>
            </w:r>
            <w:r>
              <w:rPr>
                <w:spacing w:val="-6"/>
                <w:sz w:val="24"/>
              </w:rPr>
              <w:t> </w:t>
            </w:r>
            <w:r>
              <w:rPr>
                <w:sz w:val="24"/>
              </w:rPr>
              <w:t>Disbursing Rules for</w:t>
            </w:r>
            <w:r>
              <w:rPr>
                <w:spacing w:val="-10"/>
                <w:sz w:val="24"/>
              </w:rPr>
              <w:t> </w:t>
            </w:r>
            <w:r>
              <w:rPr>
                <w:sz w:val="24"/>
              </w:rPr>
              <w:t>All Federal Agencies;</w:t>
            </w:r>
          </w:p>
          <w:p>
            <w:pPr>
              <w:pStyle w:val="TableParagraph"/>
              <w:numPr>
                <w:ilvl w:val="0"/>
                <w:numId w:val="38"/>
              </w:numPr>
              <w:tabs>
                <w:tab w:pos="328" w:val="left" w:leader="none"/>
              </w:tabs>
              <w:spacing w:line="213" w:lineRule="auto" w:before="3" w:after="0"/>
              <w:ind w:left="327" w:right="287" w:hanging="216"/>
              <w:jc w:val="both"/>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p>
            <w:pPr>
              <w:pStyle w:val="TableParagraph"/>
              <w:numPr>
                <w:ilvl w:val="0"/>
                <w:numId w:val="38"/>
              </w:numPr>
              <w:tabs>
                <w:tab w:pos="328" w:val="left" w:leader="none"/>
              </w:tabs>
              <w:spacing w:line="216" w:lineRule="auto" w:before="2" w:after="0"/>
              <w:ind w:left="327" w:right="621" w:hanging="216"/>
              <w:jc w:val="both"/>
              <w:rPr>
                <w:sz w:val="24"/>
              </w:rPr>
            </w:pPr>
            <w:hyperlink r:id="rId41">
              <w:r>
                <w:rPr>
                  <w:color w:val="0000FF"/>
                  <w:sz w:val="24"/>
                </w:rPr>
                <w:t>OMB</w:t>
              </w:r>
            </w:hyperlink>
            <w:r>
              <w:rPr>
                <w:color w:val="0000FF"/>
                <w:spacing w:val="-7"/>
                <w:sz w:val="24"/>
              </w:rPr>
              <w:t> </w:t>
            </w:r>
            <w:r>
              <w:rPr>
                <w:sz w:val="24"/>
              </w:rPr>
              <w:t>Circular</w:t>
            </w:r>
            <w:r>
              <w:rPr>
                <w:spacing w:val="-6"/>
                <w:sz w:val="24"/>
              </w:rPr>
              <w:t> </w:t>
            </w:r>
            <w:r>
              <w:rPr>
                <w:sz w:val="24"/>
              </w:rPr>
              <w:t>No.</w:t>
            </w:r>
            <w:r>
              <w:rPr>
                <w:spacing w:val="-6"/>
                <w:sz w:val="24"/>
              </w:rPr>
              <w:t> </w:t>
            </w:r>
            <w:r>
              <w:rPr>
                <w:sz w:val="24"/>
              </w:rPr>
              <w:t>A-11,</w:t>
            </w:r>
            <w:r>
              <w:rPr>
                <w:spacing w:val="-7"/>
                <w:sz w:val="24"/>
              </w:rPr>
              <w:t> </w:t>
            </w:r>
            <w:r>
              <w:rPr>
                <w:sz w:val="24"/>
              </w:rPr>
              <w:t>Preparation,</w:t>
            </w:r>
            <w:r>
              <w:rPr>
                <w:spacing w:val="-7"/>
                <w:sz w:val="24"/>
              </w:rPr>
              <w:t> </w:t>
            </w:r>
            <w:r>
              <w:rPr>
                <w:sz w:val="24"/>
              </w:rPr>
              <w:t>Submission</w:t>
            </w:r>
            <w:r>
              <w:rPr>
                <w:spacing w:val="-7"/>
                <w:sz w:val="24"/>
              </w:rPr>
              <w:t> </w:t>
            </w:r>
            <w:r>
              <w:rPr>
                <w:sz w:val="24"/>
              </w:rPr>
              <w:t>and Execution</w:t>
            </w:r>
            <w:r>
              <w:rPr>
                <w:spacing w:val="-1"/>
                <w:sz w:val="24"/>
              </w:rPr>
              <w:t> </w:t>
            </w:r>
            <w:r>
              <w:rPr>
                <w:sz w:val="24"/>
              </w:rPr>
              <w:t>of</w:t>
            </w:r>
            <w:r>
              <w:rPr>
                <w:spacing w:val="-2"/>
                <w:sz w:val="24"/>
              </w:rPr>
              <w:t> </w:t>
            </w:r>
            <w:r>
              <w:rPr>
                <w:sz w:val="24"/>
              </w:rPr>
              <w:t>the</w:t>
            </w:r>
            <w:r>
              <w:rPr>
                <w:spacing w:val="-2"/>
                <w:sz w:val="24"/>
              </w:rPr>
              <w:t> </w:t>
            </w:r>
            <w:r>
              <w:rPr>
                <w:sz w:val="24"/>
              </w:rPr>
              <w:t>Budget,</w:t>
            </w:r>
            <w:r>
              <w:rPr>
                <w:spacing w:val="-1"/>
                <w:sz w:val="24"/>
              </w:rPr>
              <w:t> </w:t>
            </w:r>
            <w:r>
              <w:rPr>
                <w:sz w:val="24"/>
              </w:rPr>
              <w:t>Part</w:t>
            </w:r>
            <w:r>
              <w:rPr>
                <w:spacing w:val="-3"/>
                <w:sz w:val="24"/>
              </w:rPr>
              <w:t> </w:t>
            </w:r>
            <w:r>
              <w:rPr>
                <w:sz w:val="24"/>
              </w:rPr>
              <w:t>1,</w:t>
            </w:r>
            <w:r>
              <w:rPr>
                <w:spacing w:val="-3"/>
                <w:sz w:val="24"/>
              </w:rPr>
              <w:t> </w:t>
            </w:r>
            <w:r>
              <w:rPr>
                <w:sz w:val="24"/>
              </w:rPr>
              <w:t>General</w:t>
            </w:r>
            <w:r>
              <w:rPr>
                <w:spacing w:val="-2"/>
                <w:sz w:val="24"/>
              </w:rPr>
              <w:t> </w:t>
            </w:r>
            <w:r>
              <w:rPr>
                <w:sz w:val="24"/>
              </w:rPr>
              <w:t>Information, Section 20: Terms and</w:t>
            </w:r>
            <w:r>
              <w:rPr>
                <w:spacing w:val="-7"/>
                <w:sz w:val="24"/>
              </w:rPr>
              <w:t> </w:t>
            </w:r>
            <w:r>
              <w:rPr>
                <w:sz w:val="24"/>
              </w:rPr>
              <w:t>Concepts;</w:t>
            </w:r>
          </w:p>
          <w:p>
            <w:pPr>
              <w:pStyle w:val="TableParagraph"/>
              <w:numPr>
                <w:ilvl w:val="0"/>
                <w:numId w:val="38"/>
              </w:numPr>
              <w:tabs>
                <w:tab w:pos="328" w:val="left" w:leader="none"/>
              </w:tabs>
              <w:spacing w:line="216" w:lineRule="auto" w:before="1" w:after="0"/>
              <w:ind w:left="327" w:right="447" w:hanging="216"/>
              <w:jc w:val="left"/>
              <w:rPr>
                <w:sz w:val="24"/>
              </w:rPr>
            </w:pPr>
            <w:hyperlink r:id="rId41">
              <w:r>
                <w:rPr>
                  <w:color w:val="0000FF"/>
                  <w:sz w:val="24"/>
                </w:rPr>
                <w:t>OMB</w:t>
              </w:r>
            </w:hyperlink>
            <w:r>
              <w:rPr>
                <w:color w:val="0000FF"/>
                <w:sz w:val="24"/>
              </w:rPr>
              <w:t> </w:t>
            </w:r>
            <w:r>
              <w:rPr>
                <w:sz w:val="24"/>
              </w:rPr>
              <w:t>Circular No. A-11, Preparation, Submission and Execution</w:t>
            </w:r>
            <w:r>
              <w:rPr>
                <w:spacing w:val="-5"/>
                <w:sz w:val="24"/>
              </w:rPr>
              <w:t> </w:t>
            </w:r>
            <w:r>
              <w:rPr>
                <w:sz w:val="24"/>
              </w:rPr>
              <w:t>of</w:t>
            </w:r>
            <w:r>
              <w:rPr>
                <w:spacing w:val="-5"/>
                <w:sz w:val="24"/>
              </w:rPr>
              <w:t> </w:t>
            </w:r>
            <w:r>
              <w:rPr>
                <w:sz w:val="24"/>
              </w:rPr>
              <w:t>the</w:t>
            </w:r>
            <w:r>
              <w:rPr>
                <w:spacing w:val="-5"/>
                <w:sz w:val="24"/>
              </w:rPr>
              <w:t> </w:t>
            </w:r>
            <w:r>
              <w:rPr>
                <w:sz w:val="24"/>
              </w:rPr>
              <w:t>Budget,</w:t>
            </w:r>
            <w:r>
              <w:rPr>
                <w:spacing w:val="-5"/>
                <w:sz w:val="24"/>
              </w:rPr>
              <w:t> </w:t>
            </w:r>
            <w:r>
              <w:rPr>
                <w:sz w:val="24"/>
              </w:rPr>
              <w:t>Part</w:t>
            </w:r>
            <w:r>
              <w:rPr>
                <w:spacing w:val="-6"/>
                <w:sz w:val="24"/>
              </w:rPr>
              <w:t> </w:t>
            </w:r>
            <w:r>
              <w:rPr>
                <w:sz w:val="24"/>
              </w:rPr>
              <w:t>4,</w:t>
            </w:r>
            <w:r>
              <w:rPr>
                <w:spacing w:val="-6"/>
                <w:sz w:val="24"/>
              </w:rPr>
              <w:t> </w:t>
            </w:r>
            <w:r>
              <w:rPr>
                <w:sz w:val="24"/>
              </w:rPr>
              <w:t>Instructions</w:t>
            </w:r>
            <w:r>
              <w:rPr>
                <w:spacing w:val="-5"/>
                <w:sz w:val="24"/>
              </w:rPr>
              <w:t> </w:t>
            </w:r>
            <w:r>
              <w:rPr>
                <w:sz w:val="24"/>
              </w:rPr>
              <w:t>on</w:t>
            </w:r>
            <w:r>
              <w:rPr>
                <w:spacing w:val="-5"/>
                <w:sz w:val="24"/>
              </w:rPr>
              <w:t> </w:t>
            </w:r>
            <w:r>
              <w:rPr>
                <w:sz w:val="24"/>
              </w:rPr>
              <w:t>Budget Execution, Section 120.65:</w:t>
            </w:r>
          </w:p>
          <w:p>
            <w:pPr>
              <w:pStyle w:val="TableParagraph"/>
              <w:numPr>
                <w:ilvl w:val="0"/>
                <w:numId w:val="38"/>
              </w:numPr>
              <w:tabs>
                <w:tab w:pos="328" w:val="left" w:leader="none"/>
              </w:tabs>
              <w:spacing w:line="243" w:lineRule="exact" w:before="0" w:after="0"/>
              <w:ind w:left="327" w:right="0" w:hanging="217"/>
              <w:jc w:val="left"/>
              <w:rPr>
                <w:sz w:val="24"/>
              </w:rPr>
            </w:pPr>
            <w:hyperlink r:id="rId53">
              <w:r>
                <w:rPr>
                  <w:color w:val="0000FF"/>
                  <w:sz w:val="24"/>
                </w:rPr>
                <w:t>48</w:t>
              </w:r>
              <w:r>
                <w:rPr>
                  <w:color w:val="0000FF"/>
                  <w:spacing w:val="-3"/>
                  <w:sz w:val="24"/>
                </w:rPr>
                <w:t> </w:t>
              </w:r>
              <w:r>
                <w:rPr>
                  <w:color w:val="0000FF"/>
                  <w:sz w:val="24"/>
                </w:rPr>
                <w:t>CFR</w:t>
              </w:r>
              <w:r>
                <w:rPr>
                  <w:color w:val="0000FF"/>
                  <w:spacing w:val="-3"/>
                  <w:sz w:val="24"/>
                </w:rPr>
                <w:t> </w:t>
              </w:r>
              <w:r>
                <w:rPr>
                  <w:color w:val="0000FF"/>
                  <w:sz w:val="24"/>
                </w:rPr>
                <w:t>32</w:t>
              </w:r>
            </w:hyperlink>
            <w:r>
              <w:rPr>
                <w:sz w:val="24"/>
              </w:rPr>
              <w:t>, Contract</w:t>
            </w:r>
            <w:r>
              <w:rPr>
                <w:spacing w:val="-5"/>
                <w:sz w:val="24"/>
              </w:rPr>
              <w:t> </w:t>
            </w:r>
            <w:r>
              <w:rPr>
                <w:spacing w:val="-2"/>
                <w:sz w:val="24"/>
              </w:rPr>
              <w:t>Financing.</w:t>
            </w:r>
          </w:p>
        </w:tc>
      </w:tr>
    </w:tbl>
    <w:p>
      <w:pPr>
        <w:spacing w:after="0" w:line="243" w:lineRule="exact"/>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5907"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2.2.1.3</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257"/>
              <w:rPr>
                <w:sz w:val="24"/>
              </w:rPr>
            </w:pPr>
            <w:r>
              <w:rPr>
                <w:sz w:val="24"/>
              </w:rPr>
              <w:t>Determine proper payable amount and other payable information consistent with FASAB</w:t>
            </w:r>
            <w:r>
              <w:rPr>
                <w:spacing w:val="-11"/>
                <w:sz w:val="24"/>
              </w:rPr>
              <w:t> </w:t>
            </w:r>
            <w:r>
              <w:rPr>
                <w:sz w:val="24"/>
              </w:rPr>
              <w:t>Handbook,</w:t>
            </w:r>
            <w:r>
              <w:rPr>
                <w:spacing w:val="-10"/>
                <w:sz w:val="24"/>
              </w:rPr>
              <w:t> </w:t>
            </w:r>
            <w:r>
              <w:rPr>
                <w:sz w:val="24"/>
              </w:rPr>
              <w:t>48</w:t>
            </w:r>
            <w:r>
              <w:rPr>
                <w:spacing w:val="-10"/>
                <w:sz w:val="24"/>
              </w:rPr>
              <w:t> </w:t>
            </w:r>
            <w:r>
              <w:rPr>
                <w:sz w:val="24"/>
              </w:rPr>
              <w:t>CFR</w:t>
            </w:r>
            <w:r>
              <w:rPr>
                <w:spacing w:val="-11"/>
                <w:sz w:val="24"/>
              </w:rPr>
              <w:t> </w:t>
            </w:r>
            <w:r>
              <w:rPr>
                <w:sz w:val="24"/>
              </w:rPr>
              <w:t>32, and Federal Acquisition Regulation (FAR) and as specified in the TFM.</w:t>
            </w:r>
          </w:p>
        </w:tc>
        <w:tc>
          <w:tcPr>
            <w:tcW w:w="6628" w:type="dxa"/>
          </w:tcPr>
          <w:p>
            <w:pPr>
              <w:pStyle w:val="TableParagraph"/>
              <w:numPr>
                <w:ilvl w:val="0"/>
                <w:numId w:val="39"/>
              </w:numPr>
              <w:tabs>
                <w:tab w:pos="328" w:val="left" w:leader="none"/>
              </w:tabs>
              <w:spacing w:line="216" w:lineRule="auto" w:before="0" w:after="0"/>
              <w:ind w:left="327" w:right="234" w:hanging="216"/>
              <w:jc w:val="both"/>
              <w:rPr>
                <w:sz w:val="24"/>
              </w:rPr>
            </w:pPr>
            <w:r>
              <w:rPr>
                <w:sz w:val="24"/>
              </w:rPr>
              <w:t>TFM</w:t>
            </w:r>
            <w:r>
              <w:rPr>
                <w:spacing w:val="-4"/>
                <w:sz w:val="24"/>
              </w:rPr>
              <w:t> </w:t>
            </w:r>
            <w:hyperlink r:id="rId52">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7"/>
                  <w:sz w:val="24"/>
                </w:rPr>
                <w:t> </w:t>
              </w:r>
              <w:r>
                <w:rPr>
                  <w:color w:val="0000FF"/>
                  <w:sz w:val="24"/>
                </w:rPr>
                <w:t>4A,</w:t>
              </w:r>
              <w:r>
                <w:rPr>
                  <w:color w:val="0000FF"/>
                  <w:spacing w:val="-4"/>
                  <w:sz w:val="24"/>
                </w:rPr>
                <w:t> </w:t>
              </w:r>
              <w:r>
                <w:rPr>
                  <w:color w:val="0000FF"/>
                  <w:sz w:val="24"/>
                </w:rPr>
                <w:t>Chapter</w:t>
              </w:r>
              <w:r>
                <w:rPr>
                  <w:color w:val="0000FF"/>
                  <w:spacing w:val="-4"/>
                  <w:sz w:val="24"/>
                </w:rPr>
                <w:t> </w:t>
              </w:r>
              <w:r>
                <w:rPr>
                  <w:color w:val="0000FF"/>
                  <w:sz w:val="24"/>
                </w:rPr>
                <w:t>2000</w:t>
              </w:r>
            </w:hyperlink>
            <w:r>
              <w:rPr>
                <w:color w:val="0000FF"/>
                <w:spacing w:val="-5"/>
                <w:sz w:val="24"/>
              </w:rPr>
              <w:t> </w:t>
            </w:r>
            <w:r>
              <w:rPr>
                <w:sz w:val="24"/>
              </w:rPr>
              <w:t>Overall</w:t>
            </w:r>
            <w:r>
              <w:rPr>
                <w:spacing w:val="-6"/>
                <w:sz w:val="24"/>
              </w:rPr>
              <w:t> </w:t>
            </w:r>
            <w:r>
              <w:rPr>
                <w:sz w:val="24"/>
              </w:rPr>
              <w:t>Disbursing Rules for All Federal Agencies, Section 2070 Preaudit of </w:t>
            </w:r>
            <w:r>
              <w:rPr>
                <w:spacing w:val="-2"/>
                <w:sz w:val="24"/>
              </w:rPr>
              <w:t>Vouchers;</w:t>
            </w:r>
          </w:p>
          <w:p>
            <w:pPr>
              <w:pStyle w:val="TableParagraph"/>
              <w:numPr>
                <w:ilvl w:val="0"/>
                <w:numId w:val="39"/>
              </w:numPr>
              <w:tabs>
                <w:tab w:pos="328" w:val="left" w:leader="none"/>
              </w:tabs>
              <w:spacing w:line="216" w:lineRule="auto" w:before="0" w:after="0"/>
              <w:ind w:left="327" w:right="353" w:hanging="216"/>
              <w:jc w:val="left"/>
              <w:rPr>
                <w:sz w:val="24"/>
              </w:rPr>
            </w:pPr>
            <w:r>
              <w:rPr>
                <w:sz w:val="24"/>
              </w:rPr>
              <w:t>TFM</w:t>
            </w:r>
            <w:r>
              <w:rPr>
                <w:spacing w:val="-4"/>
                <w:sz w:val="24"/>
              </w:rPr>
              <w:t> </w:t>
            </w:r>
            <w:hyperlink r:id="rId54">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7"/>
                  <w:sz w:val="24"/>
                </w:rPr>
                <w:t> </w:t>
              </w:r>
              <w:r>
                <w:rPr>
                  <w:color w:val="0000FF"/>
                  <w:sz w:val="24"/>
                </w:rPr>
                <w:t>4A,</w:t>
              </w:r>
              <w:r>
                <w:rPr>
                  <w:color w:val="0000FF"/>
                  <w:spacing w:val="-4"/>
                  <w:sz w:val="24"/>
                </w:rPr>
                <w:t> </w:t>
              </w:r>
              <w:r>
                <w:rPr>
                  <w:color w:val="0000FF"/>
                  <w:sz w:val="24"/>
                </w:rPr>
                <w:t>Chapter</w:t>
              </w:r>
              <w:r>
                <w:rPr>
                  <w:color w:val="0000FF"/>
                  <w:spacing w:val="-4"/>
                  <w:sz w:val="24"/>
                </w:rPr>
                <w:t> </w:t>
              </w:r>
              <w:r>
                <w:rPr>
                  <w:color w:val="0000FF"/>
                  <w:sz w:val="24"/>
                </w:rPr>
                <w:t>3000</w:t>
              </w:r>
            </w:hyperlink>
            <w:r>
              <w:rPr>
                <w:color w:val="0000FF"/>
                <w:spacing w:val="-5"/>
                <w:sz w:val="24"/>
              </w:rPr>
              <w:t> </w:t>
            </w:r>
            <w:r>
              <w:rPr>
                <w:sz w:val="24"/>
              </w:rPr>
              <w:t>Requirements</w:t>
            </w:r>
            <w:r>
              <w:rPr>
                <w:spacing w:val="-5"/>
                <w:sz w:val="24"/>
              </w:rPr>
              <w:t> </w:t>
            </w:r>
            <w:r>
              <w:rPr>
                <w:sz w:val="24"/>
              </w:rPr>
              <w:t>for Scheduling Payments Disbursed by the Bureau of the Fiscal</w:t>
            </w:r>
            <w:r>
              <w:rPr>
                <w:spacing w:val="-8"/>
                <w:sz w:val="24"/>
              </w:rPr>
              <w:t> </w:t>
            </w:r>
            <w:r>
              <w:rPr>
                <w:sz w:val="24"/>
              </w:rPr>
              <w:t>Service;</w:t>
            </w:r>
          </w:p>
          <w:p>
            <w:pPr>
              <w:pStyle w:val="TableParagraph"/>
              <w:numPr>
                <w:ilvl w:val="0"/>
                <w:numId w:val="39"/>
              </w:numPr>
              <w:tabs>
                <w:tab w:pos="328" w:val="left" w:leader="none"/>
              </w:tabs>
              <w:spacing w:line="255" w:lineRule="exact" w:before="0" w:after="0"/>
              <w:ind w:left="327" w:right="0" w:hanging="217"/>
              <w:jc w:val="left"/>
              <w:rPr>
                <w:sz w:val="24"/>
              </w:rPr>
            </w:pPr>
            <w:hyperlink r:id="rId16">
              <w:r>
                <w:rPr>
                  <w:color w:val="0000FF"/>
                  <w:sz w:val="24"/>
                </w:rPr>
                <w:t>SFFAS</w:t>
              </w:r>
              <w:r>
                <w:rPr>
                  <w:color w:val="0000FF"/>
                  <w:spacing w:val="-5"/>
                  <w:sz w:val="24"/>
                </w:rPr>
                <w:t> </w:t>
              </w:r>
              <w:r>
                <w:rPr>
                  <w:color w:val="0000FF"/>
                  <w:sz w:val="24"/>
                </w:rPr>
                <w:t>1</w:t>
              </w:r>
            </w:hyperlink>
            <w:r>
              <w:rPr>
                <w:sz w:val="24"/>
              </w:rPr>
              <w:t>:</w:t>
            </w:r>
            <w:r>
              <w:rPr>
                <w:spacing w:val="-4"/>
                <w:sz w:val="24"/>
              </w:rPr>
              <w:t> </w:t>
            </w:r>
            <w:r>
              <w:rPr>
                <w:sz w:val="24"/>
              </w:rPr>
              <w:t>Accounting</w:t>
            </w:r>
            <w:r>
              <w:rPr>
                <w:spacing w:val="-2"/>
                <w:sz w:val="24"/>
              </w:rPr>
              <w:t> </w:t>
            </w:r>
            <w:r>
              <w:rPr>
                <w:sz w:val="24"/>
              </w:rPr>
              <w:t>for</w:t>
            </w:r>
            <w:r>
              <w:rPr>
                <w:spacing w:val="-3"/>
                <w:sz w:val="24"/>
              </w:rPr>
              <w:t> </w:t>
            </w:r>
            <w:r>
              <w:rPr>
                <w:sz w:val="24"/>
              </w:rPr>
              <w:t>Selected</w:t>
            </w:r>
            <w:r>
              <w:rPr>
                <w:spacing w:val="-2"/>
                <w:sz w:val="24"/>
              </w:rPr>
              <w:t> </w:t>
            </w:r>
            <w:r>
              <w:rPr>
                <w:sz w:val="24"/>
              </w:rPr>
              <w:t>Assets</w:t>
            </w:r>
            <w:r>
              <w:rPr>
                <w:spacing w:val="-3"/>
                <w:sz w:val="24"/>
              </w:rPr>
              <w:t> </w:t>
            </w:r>
            <w:r>
              <w:rPr>
                <w:sz w:val="24"/>
              </w:rPr>
              <w:t>and</w:t>
            </w:r>
            <w:r>
              <w:rPr>
                <w:spacing w:val="-13"/>
                <w:sz w:val="24"/>
              </w:rPr>
              <w:t> </w:t>
            </w:r>
            <w:r>
              <w:rPr>
                <w:spacing w:val="-2"/>
                <w:sz w:val="24"/>
              </w:rPr>
              <w:t>Liabilities;</w:t>
            </w:r>
          </w:p>
          <w:p>
            <w:pPr>
              <w:pStyle w:val="TableParagraph"/>
              <w:numPr>
                <w:ilvl w:val="0"/>
                <w:numId w:val="39"/>
              </w:numPr>
              <w:tabs>
                <w:tab w:pos="328" w:val="left" w:leader="none"/>
              </w:tabs>
              <w:spacing w:line="213" w:lineRule="auto" w:before="4" w:after="0"/>
              <w:ind w:left="327" w:right="1167" w:hanging="216"/>
              <w:jc w:val="left"/>
              <w:rPr>
                <w:sz w:val="24"/>
              </w:rPr>
            </w:pPr>
            <w:hyperlink r:id="rId17">
              <w:r>
                <w:rPr>
                  <w:color w:val="0000FF"/>
                  <w:sz w:val="24"/>
                </w:rPr>
                <w:t>SFFAS</w:t>
              </w:r>
              <w:r>
                <w:rPr>
                  <w:color w:val="0000FF"/>
                  <w:spacing w:val="-6"/>
                  <w:sz w:val="24"/>
                </w:rPr>
                <w:t> </w:t>
              </w:r>
              <w:r>
                <w:rPr>
                  <w:color w:val="0000FF"/>
                  <w:sz w:val="24"/>
                </w:rPr>
                <w:t>2</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Direct</w:t>
            </w:r>
            <w:r>
              <w:rPr>
                <w:spacing w:val="-8"/>
                <w:sz w:val="24"/>
              </w:rPr>
              <w:t> </w:t>
            </w:r>
            <w:r>
              <w:rPr>
                <w:sz w:val="24"/>
              </w:rPr>
              <w:t>Loans</w:t>
            </w:r>
            <w:r>
              <w:rPr>
                <w:spacing w:val="-6"/>
                <w:sz w:val="24"/>
              </w:rPr>
              <w:t> </w:t>
            </w:r>
            <w:r>
              <w:rPr>
                <w:sz w:val="24"/>
              </w:rPr>
              <w:t>and</w:t>
            </w:r>
            <w:r>
              <w:rPr>
                <w:spacing w:val="-5"/>
                <w:sz w:val="24"/>
              </w:rPr>
              <w:t> </w:t>
            </w:r>
            <w:r>
              <w:rPr>
                <w:sz w:val="24"/>
              </w:rPr>
              <w:t>Loan </w:t>
            </w:r>
            <w:r>
              <w:rPr>
                <w:spacing w:val="-2"/>
                <w:sz w:val="24"/>
              </w:rPr>
              <w:t>Guarantees;</w:t>
            </w:r>
          </w:p>
          <w:p>
            <w:pPr>
              <w:pStyle w:val="TableParagraph"/>
              <w:numPr>
                <w:ilvl w:val="0"/>
                <w:numId w:val="39"/>
              </w:numPr>
              <w:tabs>
                <w:tab w:pos="328" w:val="left" w:leader="none"/>
              </w:tabs>
              <w:spacing w:line="216" w:lineRule="auto" w:before="3" w:after="0"/>
              <w:ind w:left="327" w:right="1046" w:hanging="216"/>
              <w:jc w:val="left"/>
              <w:rPr>
                <w:sz w:val="24"/>
              </w:rPr>
            </w:pPr>
            <w:hyperlink r:id="rId33">
              <w:r>
                <w:rPr>
                  <w:color w:val="0000FF"/>
                  <w:sz w:val="24"/>
                </w:rPr>
                <w:t>SFFAS</w:t>
              </w:r>
              <w:r>
                <w:rPr>
                  <w:color w:val="0000FF"/>
                  <w:spacing w:val="-6"/>
                  <w:sz w:val="24"/>
                </w:rPr>
                <w:t> </w:t>
              </w:r>
              <w:r>
                <w:rPr>
                  <w:color w:val="0000FF"/>
                  <w:sz w:val="24"/>
                </w:rPr>
                <w:t>5</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Liabilities</w:t>
            </w:r>
            <w:r>
              <w:rPr>
                <w:spacing w:val="-6"/>
                <w:sz w:val="24"/>
              </w:rPr>
              <w:t> </w:t>
            </w:r>
            <w:r>
              <w:rPr>
                <w:sz w:val="24"/>
              </w:rPr>
              <w:t>of</w:t>
            </w:r>
            <w:r>
              <w:rPr>
                <w:spacing w:val="-6"/>
                <w:sz w:val="24"/>
              </w:rPr>
              <w:t> </w:t>
            </w:r>
            <w:r>
              <w:rPr>
                <w:sz w:val="24"/>
              </w:rPr>
              <w:t>the</w:t>
            </w:r>
            <w:r>
              <w:rPr>
                <w:spacing w:val="-6"/>
                <w:sz w:val="24"/>
              </w:rPr>
              <w:t> </w:t>
            </w:r>
            <w:r>
              <w:rPr>
                <w:sz w:val="24"/>
              </w:rPr>
              <w:t>Federal </w:t>
            </w:r>
            <w:r>
              <w:rPr>
                <w:spacing w:val="-2"/>
                <w:sz w:val="24"/>
              </w:rPr>
              <w:t>Government;</w:t>
            </w:r>
          </w:p>
          <w:p>
            <w:pPr>
              <w:pStyle w:val="TableParagraph"/>
              <w:numPr>
                <w:ilvl w:val="0"/>
                <w:numId w:val="39"/>
              </w:numPr>
              <w:tabs>
                <w:tab w:pos="328" w:val="left" w:leader="none"/>
              </w:tabs>
              <w:spacing w:line="216" w:lineRule="auto" w:before="0" w:after="0"/>
              <w:ind w:left="327" w:right="373" w:hanging="216"/>
              <w:jc w:val="both"/>
              <w:rPr>
                <w:sz w:val="24"/>
              </w:rPr>
            </w:pPr>
            <w:hyperlink r:id="rId34">
              <w:r>
                <w:rPr>
                  <w:color w:val="0000FF"/>
                  <w:sz w:val="24"/>
                </w:rPr>
                <w:t>SFFAS 12</w:t>
              </w:r>
            </w:hyperlink>
            <w:r>
              <w:rPr>
                <w:sz w:val="24"/>
              </w:rPr>
              <w:t>: Recognition of Contingent Liabilities Arising from</w:t>
            </w:r>
            <w:r>
              <w:rPr>
                <w:spacing w:val="-6"/>
                <w:sz w:val="24"/>
              </w:rPr>
              <w:t> </w:t>
            </w:r>
            <w:r>
              <w:rPr>
                <w:sz w:val="24"/>
              </w:rPr>
              <w:t>Litigation:</w:t>
            </w:r>
            <w:r>
              <w:rPr>
                <w:spacing w:val="-6"/>
                <w:sz w:val="24"/>
              </w:rPr>
              <w:t> </w:t>
            </w:r>
            <w:r>
              <w:rPr>
                <w:sz w:val="24"/>
              </w:rPr>
              <w:t>An</w:t>
            </w:r>
            <w:r>
              <w:rPr>
                <w:spacing w:val="-6"/>
                <w:sz w:val="24"/>
              </w:rPr>
              <w:t> </w:t>
            </w:r>
            <w:r>
              <w:rPr>
                <w:sz w:val="24"/>
              </w:rPr>
              <w:t>Amendment</w:t>
            </w:r>
            <w:r>
              <w:rPr>
                <w:spacing w:val="-6"/>
                <w:sz w:val="24"/>
              </w:rPr>
              <w:t> </w:t>
            </w:r>
            <w:r>
              <w:rPr>
                <w:sz w:val="24"/>
              </w:rPr>
              <w:t>of</w:t>
            </w:r>
            <w:r>
              <w:rPr>
                <w:spacing w:val="-7"/>
                <w:sz w:val="24"/>
              </w:rPr>
              <w:t> </w:t>
            </w:r>
            <w:r>
              <w:rPr>
                <w:sz w:val="24"/>
              </w:rPr>
              <w:t>SFFAS</w:t>
            </w:r>
            <w:r>
              <w:rPr>
                <w:spacing w:val="-9"/>
                <w:sz w:val="24"/>
              </w:rPr>
              <w:t> </w:t>
            </w:r>
            <w:r>
              <w:rPr>
                <w:sz w:val="24"/>
              </w:rPr>
              <w:t>5,</w:t>
            </w:r>
            <w:r>
              <w:rPr>
                <w:spacing w:val="-8"/>
                <w:sz w:val="24"/>
              </w:rPr>
              <w:t> </w:t>
            </w:r>
            <w:r>
              <w:rPr>
                <w:sz w:val="24"/>
              </w:rPr>
              <w:t>Accounting for Liabilities of the Federal</w:t>
            </w:r>
            <w:r>
              <w:rPr>
                <w:spacing w:val="-18"/>
                <w:sz w:val="24"/>
              </w:rPr>
              <w:t> </w:t>
            </w:r>
            <w:r>
              <w:rPr>
                <w:sz w:val="24"/>
              </w:rPr>
              <w:t>Government;</w:t>
            </w:r>
          </w:p>
          <w:p>
            <w:pPr>
              <w:pStyle w:val="TableParagraph"/>
              <w:numPr>
                <w:ilvl w:val="0"/>
                <w:numId w:val="39"/>
              </w:numPr>
              <w:tabs>
                <w:tab w:pos="328" w:val="left" w:leader="none"/>
              </w:tabs>
              <w:spacing w:line="255" w:lineRule="exact" w:before="0" w:after="0"/>
              <w:ind w:left="327" w:right="0" w:hanging="217"/>
              <w:jc w:val="both"/>
              <w:rPr>
                <w:sz w:val="24"/>
              </w:rPr>
            </w:pPr>
            <w:hyperlink r:id="rId35">
              <w:r>
                <w:rPr>
                  <w:color w:val="0000FF"/>
                  <w:sz w:val="24"/>
                </w:rPr>
                <w:t>SFFAS</w:t>
              </w:r>
              <w:r>
                <w:rPr>
                  <w:color w:val="0000FF"/>
                  <w:spacing w:val="-4"/>
                  <w:sz w:val="24"/>
                </w:rPr>
                <w:t> </w:t>
              </w:r>
              <w:r>
                <w:rPr>
                  <w:color w:val="0000FF"/>
                  <w:sz w:val="24"/>
                </w:rPr>
                <w:t>17</w:t>
              </w:r>
            </w:hyperlink>
            <w:r>
              <w:rPr>
                <w:sz w:val="24"/>
              </w:rPr>
              <w:t>:</w:t>
            </w:r>
            <w:r>
              <w:rPr>
                <w:spacing w:val="-2"/>
                <w:sz w:val="24"/>
              </w:rPr>
              <w:t> </w:t>
            </w:r>
            <w:r>
              <w:rPr>
                <w:sz w:val="24"/>
              </w:rPr>
              <w:t>Accounting</w:t>
            </w:r>
            <w:r>
              <w:rPr>
                <w:spacing w:val="-3"/>
                <w:sz w:val="24"/>
              </w:rPr>
              <w:t> </w:t>
            </w:r>
            <w:r>
              <w:rPr>
                <w:sz w:val="24"/>
              </w:rPr>
              <w:t>for</w:t>
            </w:r>
            <w:r>
              <w:rPr>
                <w:spacing w:val="-3"/>
                <w:sz w:val="24"/>
              </w:rPr>
              <w:t> </w:t>
            </w:r>
            <w:r>
              <w:rPr>
                <w:sz w:val="24"/>
              </w:rPr>
              <w:t>Social</w:t>
            </w:r>
            <w:r>
              <w:rPr>
                <w:spacing w:val="-3"/>
                <w:sz w:val="24"/>
              </w:rPr>
              <w:t> </w:t>
            </w:r>
            <w:r>
              <w:rPr>
                <w:spacing w:val="-2"/>
                <w:sz w:val="24"/>
              </w:rPr>
              <w:t>Insurance;</w:t>
            </w:r>
          </w:p>
          <w:p>
            <w:pPr>
              <w:pStyle w:val="TableParagraph"/>
              <w:numPr>
                <w:ilvl w:val="0"/>
                <w:numId w:val="39"/>
              </w:numPr>
              <w:tabs>
                <w:tab w:pos="328" w:val="left" w:leader="none"/>
              </w:tabs>
              <w:spacing w:line="213" w:lineRule="auto" w:before="12" w:after="0"/>
              <w:ind w:left="327" w:right="606" w:hanging="216"/>
              <w:jc w:val="left"/>
              <w:rPr>
                <w:sz w:val="24"/>
              </w:rPr>
            </w:pPr>
            <w:hyperlink r:id="rId22">
              <w:r>
                <w:rPr>
                  <w:color w:val="0000FF"/>
                  <w:sz w:val="24"/>
                </w:rPr>
                <w:t>SFFAS</w:t>
              </w:r>
              <w:r>
                <w:rPr>
                  <w:color w:val="0000FF"/>
                  <w:spacing w:val="-7"/>
                  <w:sz w:val="24"/>
                </w:rPr>
                <w:t> </w:t>
              </w:r>
              <w:r>
                <w:rPr>
                  <w:color w:val="0000FF"/>
                  <w:sz w:val="24"/>
                </w:rPr>
                <w:t>18</w:t>
              </w:r>
            </w:hyperlink>
            <w:r>
              <w:rPr>
                <w:sz w:val="24"/>
              </w:rPr>
              <w:t>:</w:t>
            </w:r>
            <w:r>
              <w:rPr>
                <w:spacing w:val="-6"/>
                <w:sz w:val="24"/>
              </w:rPr>
              <w:t> </w:t>
            </w:r>
            <w:r>
              <w:rPr>
                <w:sz w:val="24"/>
              </w:rPr>
              <w:t>Amendments</w:t>
            </w:r>
            <w:r>
              <w:rPr>
                <w:spacing w:val="-7"/>
                <w:sz w:val="24"/>
              </w:rPr>
              <w:t> </w:t>
            </w:r>
            <w:r>
              <w:rPr>
                <w:sz w:val="24"/>
              </w:rPr>
              <w:t>to</w:t>
            </w:r>
            <w:r>
              <w:rPr>
                <w:spacing w:val="-7"/>
                <w:sz w:val="24"/>
              </w:rPr>
              <w:t> </w:t>
            </w:r>
            <w:r>
              <w:rPr>
                <w:sz w:val="24"/>
              </w:rPr>
              <w:t>Accounting</w:t>
            </w:r>
            <w:r>
              <w:rPr>
                <w:spacing w:val="-7"/>
                <w:sz w:val="24"/>
              </w:rPr>
              <w:t> </w:t>
            </w:r>
            <w:r>
              <w:rPr>
                <w:sz w:val="24"/>
              </w:rPr>
              <w:t>Standards</w:t>
            </w:r>
            <w:r>
              <w:rPr>
                <w:spacing w:val="-7"/>
                <w:sz w:val="24"/>
              </w:rPr>
              <w:t> </w:t>
            </w:r>
            <w:r>
              <w:rPr>
                <w:sz w:val="24"/>
              </w:rPr>
              <w:t>for Direct Loans and Loan Guarantees in SFFAS 2;</w:t>
            </w:r>
          </w:p>
          <w:p>
            <w:pPr>
              <w:pStyle w:val="TableParagraph"/>
              <w:numPr>
                <w:ilvl w:val="0"/>
                <w:numId w:val="39"/>
              </w:numPr>
              <w:tabs>
                <w:tab w:pos="328" w:val="left" w:leader="none"/>
              </w:tabs>
              <w:spacing w:line="216" w:lineRule="auto" w:before="3" w:after="0"/>
              <w:ind w:left="327" w:right="792" w:hanging="216"/>
              <w:jc w:val="left"/>
              <w:rPr>
                <w:sz w:val="24"/>
              </w:rPr>
            </w:pPr>
            <w:r>
              <w:rPr>
                <w:color w:val="0000FF"/>
                <w:sz w:val="24"/>
              </w:rPr>
              <w:t>SFFAS 19: </w:t>
            </w:r>
            <w:r>
              <w:rPr>
                <w:sz w:val="24"/>
              </w:rPr>
              <w:t>Technical Amendments to Accounting Standards</w:t>
            </w:r>
            <w:r>
              <w:rPr>
                <w:spacing w:val="-6"/>
                <w:sz w:val="24"/>
              </w:rPr>
              <w:t> </w:t>
            </w:r>
            <w:r>
              <w:rPr>
                <w:sz w:val="24"/>
              </w:rPr>
              <w:t>for</w:t>
            </w:r>
            <w:r>
              <w:rPr>
                <w:spacing w:val="-6"/>
                <w:sz w:val="24"/>
              </w:rPr>
              <w:t> </w:t>
            </w:r>
            <w:r>
              <w:rPr>
                <w:sz w:val="24"/>
              </w:rPr>
              <w:t>Direct</w:t>
            </w:r>
            <w:r>
              <w:rPr>
                <w:spacing w:val="-5"/>
                <w:sz w:val="24"/>
              </w:rPr>
              <w:t> </w:t>
            </w:r>
            <w:r>
              <w:rPr>
                <w:sz w:val="24"/>
              </w:rPr>
              <w:t>Loans</w:t>
            </w:r>
            <w:r>
              <w:rPr>
                <w:spacing w:val="-6"/>
                <w:sz w:val="24"/>
              </w:rPr>
              <w:t> </w:t>
            </w:r>
            <w:r>
              <w:rPr>
                <w:sz w:val="24"/>
              </w:rPr>
              <w:t>and</w:t>
            </w:r>
            <w:r>
              <w:rPr>
                <w:spacing w:val="-6"/>
                <w:sz w:val="24"/>
              </w:rPr>
              <w:t> </w:t>
            </w:r>
            <w:r>
              <w:rPr>
                <w:sz w:val="24"/>
              </w:rPr>
              <w:t>Loan</w:t>
            </w:r>
            <w:r>
              <w:rPr>
                <w:spacing w:val="-6"/>
                <w:sz w:val="24"/>
              </w:rPr>
              <w:t> </w:t>
            </w:r>
            <w:r>
              <w:rPr>
                <w:sz w:val="24"/>
              </w:rPr>
              <w:t>Guarantees</w:t>
            </w:r>
            <w:r>
              <w:rPr>
                <w:spacing w:val="-6"/>
                <w:sz w:val="24"/>
              </w:rPr>
              <w:t> </w:t>
            </w:r>
            <w:r>
              <w:rPr>
                <w:sz w:val="24"/>
              </w:rPr>
              <w:t>in SFFAS 2;</w:t>
            </w:r>
          </w:p>
          <w:p>
            <w:pPr>
              <w:pStyle w:val="TableParagraph"/>
              <w:numPr>
                <w:ilvl w:val="0"/>
                <w:numId w:val="39"/>
              </w:numPr>
              <w:tabs>
                <w:tab w:pos="328" w:val="left" w:leader="none"/>
              </w:tabs>
              <w:spacing w:line="255" w:lineRule="exact" w:before="0" w:after="0"/>
              <w:ind w:left="327" w:right="0" w:hanging="217"/>
              <w:jc w:val="left"/>
              <w:rPr>
                <w:sz w:val="24"/>
              </w:rPr>
            </w:pPr>
            <w:r>
              <w:rPr>
                <w:color w:val="0000FF"/>
                <w:sz w:val="24"/>
              </w:rPr>
              <w:t>SFFAS</w:t>
            </w:r>
            <w:r>
              <w:rPr>
                <w:color w:val="0000FF"/>
                <w:spacing w:val="-4"/>
                <w:sz w:val="24"/>
              </w:rPr>
              <w:t> </w:t>
            </w:r>
            <w:r>
              <w:rPr>
                <w:color w:val="0000FF"/>
                <w:sz w:val="24"/>
              </w:rPr>
              <w:t>51:</w:t>
            </w:r>
            <w:r>
              <w:rPr>
                <w:color w:val="0000FF"/>
                <w:spacing w:val="-3"/>
                <w:sz w:val="24"/>
              </w:rPr>
              <w:t> </w:t>
            </w:r>
            <w:r>
              <w:rPr>
                <w:sz w:val="24"/>
              </w:rPr>
              <w:t>Insurance</w:t>
            </w:r>
            <w:r>
              <w:rPr>
                <w:spacing w:val="-4"/>
                <w:sz w:val="24"/>
              </w:rPr>
              <w:t> </w:t>
            </w:r>
            <w:r>
              <w:rPr>
                <w:spacing w:val="-2"/>
                <w:sz w:val="24"/>
              </w:rPr>
              <w:t>Programs,</w:t>
            </w:r>
          </w:p>
          <w:p>
            <w:pPr>
              <w:pStyle w:val="TableParagraph"/>
              <w:numPr>
                <w:ilvl w:val="0"/>
                <w:numId w:val="39"/>
              </w:numPr>
              <w:tabs>
                <w:tab w:pos="328" w:val="left" w:leader="none"/>
              </w:tabs>
              <w:spacing w:line="265" w:lineRule="exact" w:before="0" w:after="0"/>
              <w:ind w:left="327" w:right="0" w:hanging="217"/>
              <w:jc w:val="left"/>
              <w:rPr>
                <w:sz w:val="24"/>
              </w:rPr>
            </w:pPr>
            <w:r>
              <w:rPr>
                <w:sz w:val="24"/>
              </w:rPr>
              <w:t>48</w:t>
            </w:r>
            <w:r>
              <w:rPr>
                <w:spacing w:val="-5"/>
                <w:sz w:val="24"/>
              </w:rPr>
              <w:t> </w:t>
            </w:r>
            <w:r>
              <w:rPr>
                <w:sz w:val="24"/>
              </w:rPr>
              <w:t>CFR</w:t>
            </w:r>
            <w:r>
              <w:rPr>
                <w:spacing w:val="-2"/>
                <w:sz w:val="24"/>
              </w:rPr>
              <w:t> </w:t>
            </w:r>
            <w:r>
              <w:rPr>
                <w:sz w:val="24"/>
              </w:rPr>
              <w:t>32,</w:t>
            </w:r>
            <w:r>
              <w:rPr>
                <w:spacing w:val="-1"/>
                <w:sz w:val="24"/>
              </w:rPr>
              <w:t> </w:t>
            </w:r>
            <w:r>
              <w:rPr>
                <w:sz w:val="24"/>
              </w:rPr>
              <w:t>Contract</w:t>
            </w:r>
            <w:r>
              <w:rPr>
                <w:spacing w:val="-1"/>
                <w:sz w:val="24"/>
              </w:rPr>
              <w:t> </w:t>
            </w:r>
            <w:r>
              <w:rPr>
                <w:spacing w:val="-2"/>
                <w:sz w:val="24"/>
              </w:rPr>
              <w:t>Financing;</w:t>
            </w:r>
          </w:p>
          <w:p>
            <w:pPr>
              <w:pStyle w:val="TableParagraph"/>
              <w:numPr>
                <w:ilvl w:val="0"/>
                <w:numId w:val="39"/>
              </w:numPr>
              <w:tabs>
                <w:tab w:pos="328" w:val="left" w:leader="none"/>
              </w:tabs>
              <w:spacing w:line="262" w:lineRule="exact" w:before="0" w:after="0"/>
              <w:ind w:left="327" w:right="0" w:hanging="217"/>
              <w:jc w:val="left"/>
              <w:rPr>
                <w:sz w:val="24"/>
              </w:rPr>
            </w:pPr>
            <w:r>
              <w:rPr>
                <w:sz w:val="24"/>
              </w:rPr>
              <w:t>FAR</w:t>
            </w:r>
            <w:r>
              <w:rPr>
                <w:spacing w:val="-5"/>
                <w:sz w:val="24"/>
              </w:rPr>
              <w:t> </w:t>
            </w:r>
            <w:r>
              <w:rPr>
                <w:sz w:val="24"/>
              </w:rPr>
              <w:t>32.905,</w:t>
            </w:r>
            <w:r>
              <w:rPr>
                <w:spacing w:val="-4"/>
                <w:sz w:val="24"/>
              </w:rPr>
              <w:t> </w:t>
            </w:r>
            <w:r>
              <w:rPr>
                <w:sz w:val="24"/>
              </w:rPr>
              <w:t>Payment</w:t>
            </w:r>
            <w:r>
              <w:rPr>
                <w:spacing w:val="-5"/>
                <w:sz w:val="24"/>
              </w:rPr>
              <w:t> </w:t>
            </w:r>
            <w:r>
              <w:rPr>
                <w:sz w:val="24"/>
              </w:rPr>
              <w:t>Documentation</w:t>
            </w:r>
            <w:r>
              <w:rPr>
                <w:spacing w:val="-4"/>
                <w:sz w:val="24"/>
              </w:rPr>
              <w:t> </w:t>
            </w:r>
            <w:r>
              <w:rPr>
                <w:sz w:val="24"/>
              </w:rPr>
              <w:t>and</w:t>
            </w:r>
            <w:r>
              <w:rPr>
                <w:spacing w:val="-4"/>
                <w:sz w:val="24"/>
              </w:rPr>
              <w:t> </w:t>
            </w:r>
            <w:r>
              <w:rPr>
                <w:spacing w:val="-2"/>
                <w:sz w:val="24"/>
              </w:rPr>
              <w:t>Process</w:t>
            </w:r>
          </w:p>
        </w:tc>
      </w:tr>
      <w:tr>
        <w:trPr>
          <w:trHeight w:val="2235"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2.2.1.4</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45"/>
              <w:rPr>
                <w:sz w:val="24"/>
              </w:rPr>
            </w:pPr>
            <w:r>
              <w:rPr>
                <w:sz w:val="24"/>
              </w:rPr>
              <w:t>Provide</w:t>
            </w:r>
            <w:r>
              <w:rPr>
                <w:spacing w:val="-10"/>
                <w:sz w:val="24"/>
              </w:rPr>
              <w:t> </w:t>
            </w:r>
            <w:r>
              <w:rPr>
                <w:sz w:val="24"/>
              </w:rPr>
              <w:t>payable</w:t>
            </w:r>
            <w:r>
              <w:rPr>
                <w:spacing w:val="-10"/>
                <w:sz w:val="24"/>
              </w:rPr>
              <w:t> </w:t>
            </w:r>
            <w:r>
              <w:rPr>
                <w:sz w:val="24"/>
              </w:rPr>
              <w:t>data</w:t>
            </w:r>
            <w:r>
              <w:rPr>
                <w:spacing w:val="-10"/>
                <w:sz w:val="24"/>
              </w:rPr>
              <w:t> </w:t>
            </w:r>
            <w:r>
              <w:rPr>
                <w:sz w:val="24"/>
              </w:rPr>
              <w:t>required</w:t>
            </w:r>
            <w:r>
              <w:rPr>
                <w:spacing w:val="-10"/>
                <w:sz w:val="24"/>
              </w:rPr>
              <w:t> </w:t>
            </w:r>
            <w:r>
              <w:rPr>
                <w:sz w:val="24"/>
              </w:rPr>
              <w:t>to post GL transactions consistent with USSGL transaction codes, transaction categories (for example, disbursements and payables), and transaction subcategories (for example, payments/purchases)</w:t>
            </w:r>
            <w:r>
              <w:rPr>
                <w:spacing w:val="-17"/>
                <w:sz w:val="24"/>
              </w:rPr>
              <w:t> </w:t>
            </w:r>
            <w:r>
              <w:rPr>
                <w:sz w:val="24"/>
              </w:rPr>
              <w:t>as</w:t>
            </w:r>
            <w:r>
              <w:rPr>
                <w:spacing w:val="-17"/>
                <w:sz w:val="24"/>
              </w:rPr>
              <w:t> </w:t>
            </w:r>
            <w:r>
              <w:rPr>
                <w:sz w:val="24"/>
              </w:rPr>
              <w:t>defined</w:t>
            </w:r>
          </w:p>
          <w:p>
            <w:pPr>
              <w:pStyle w:val="TableParagraph"/>
              <w:spacing w:line="238" w:lineRule="exact"/>
              <w:ind w:left="110"/>
              <w:rPr>
                <w:sz w:val="24"/>
              </w:rPr>
            </w:pPr>
            <w:r>
              <w:rPr>
                <w:sz w:val="24"/>
              </w:rPr>
              <w:t>in</w:t>
            </w:r>
            <w:r>
              <w:rPr>
                <w:spacing w:val="-1"/>
                <w:sz w:val="24"/>
              </w:rPr>
              <w:t> </w:t>
            </w:r>
            <w:r>
              <w:rPr>
                <w:sz w:val="24"/>
              </w:rPr>
              <w:t>the</w:t>
            </w:r>
            <w:r>
              <w:rPr>
                <w:spacing w:val="-1"/>
                <w:sz w:val="24"/>
              </w:rPr>
              <w:t> </w:t>
            </w:r>
            <w:r>
              <w:rPr>
                <w:spacing w:val="-4"/>
                <w:sz w:val="24"/>
              </w:rPr>
              <w:t>TFM.</w:t>
            </w:r>
          </w:p>
        </w:tc>
        <w:tc>
          <w:tcPr>
            <w:tcW w:w="6628" w:type="dxa"/>
          </w:tcPr>
          <w:p>
            <w:pPr>
              <w:pStyle w:val="TableParagraph"/>
              <w:numPr>
                <w:ilvl w:val="0"/>
                <w:numId w:val="40"/>
              </w:numPr>
              <w:tabs>
                <w:tab w:pos="328" w:val="left" w:leader="none"/>
              </w:tabs>
              <w:spacing w:line="247"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3"/>
                <w:sz w:val="24"/>
              </w:rPr>
              <w:t> </w:t>
            </w:r>
            <w:r>
              <w:rPr>
                <w:sz w:val="24"/>
              </w:rPr>
              <w:t>III:</w:t>
            </w:r>
            <w:r>
              <w:rPr>
                <w:spacing w:val="-3"/>
                <w:sz w:val="24"/>
              </w:rPr>
              <w:t> </w:t>
            </w:r>
            <w:r>
              <w:rPr>
                <w:sz w:val="24"/>
              </w:rPr>
              <w:t>Account</w:t>
            </w:r>
            <w:r>
              <w:rPr>
                <w:spacing w:val="-3"/>
                <w:sz w:val="24"/>
              </w:rPr>
              <w:t> </w:t>
            </w:r>
            <w:r>
              <w:rPr>
                <w:spacing w:val="-2"/>
                <w:sz w:val="24"/>
              </w:rPr>
              <w:t>Transactions;</w:t>
            </w:r>
          </w:p>
          <w:p>
            <w:pPr>
              <w:pStyle w:val="TableParagraph"/>
              <w:numPr>
                <w:ilvl w:val="0"/>
                <w:numId w:val="40"/>
              </w:numPr>
              <w:tabs>
                <w:tab w:pos="328" w:val="left" w:leader="none"/>
              </w:tabs>
              <w:spacing w:line="213" w:lineRule="auto" w:before="12" w:after="0"/>
              <w:ind w:left="327" w:right="459" w:hanging="216"/>
              <w:jc w:val="left"/>
              <w:rPr>
                <w:sz w:val="24"/>
              </w:rPr>
            </w:pPr>
            <w:hyperlink r:id="rId14">
              <w:r>
                <w:rPr>
                  <w:color w:val="0000FF"/>
                  <w:sz w:val="24"/>
                </w:rPr>
                <w:t>USSGL</w:t>
              </w:r>
            </w:hyperlink>
            <w:r>
              <w:rPr>
                <w:sz w:val="24"/>
              </w:rPr>
              <w:t>, Section IV: Account Attributes for USSGL Proprietary</w:t>
            </w:r>
            <w:r>
              <w:rPr>
                <w:spacing w:val="-11"/>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7"/>
                <w:sz w:val="24"/>
              </w:rPr>
              <w:t> </w:t>
            </w:r>
            <w:r>
              <w:rPr>
                <w:sz w:val="24"/>
              </w:rPr>
              <w:t>Reporting;</w:t>
            </w:r>
          </w:p>
          <w:p>
            <w:pPr>
              <w:pStyle w:val="TableParagraph"/>
              <w:numPr>
                <w:ilvl w:val="0"/>
                <w:numId w:val="40"/>
              </w:numPr>
              <w:tabs>
                <w:tab w:pos="328" w:val="left" w:leader="none"/>
              </w:tabs>
              <w:spacing w:line="213" w:lineRule="auto" w:before="5"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bl>
    <w:p>
      <w:pPr>
        <w:spacing w:after="0" w:line="213" w:lineRule="auto"/>
        <w:jc w:val="left"/>
        <w:rPr>
          <w:sz w:val="24"/>
        </w:rPr>
        <w:sectPr>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235" w:hRule="atLeast"/>
        </w:trPr>
        <w:tc>
          <w:tcPr>
            <w:tcW w:w="1525" w:type="dxa"/>
            <w:vMerge w:val="restart"/>
          </w:tcPr>
          <w:p>
            <w:pPr>
              <w:pStyle w:val="TableParagraph"/>
              <w:spacing w:line="244" w:lineRule="exact"/>
              <w:ind w:left="107"/>
              <w:rPr>
                <w:sz w:val="24"/>
              </w:rPr>
            </w:pPr>
            <w:r>
              <w:rPr>
                <w:spacing w:val="-4"/>
                <w:sz w:val="24"/>
              </w:rPr>
              <w:t>2.2.2</w:t>
            </w:r>
          </w:p>
        </w:tc>
        <w:tc>
          <w:tcPr>
            <w:tcW w:w="1761" w:type="dxa"/>
            <w:vMerge w:val="restart"/>
          </w:tcPr>
          <w:p>
            <w:pPr>
              <w:pStyle w:val="TableParagraph"/>
              <w:spacing w:line="216" w:lineRule="auto"/>
              <w:ind w:left="108" w:right="571"/>
              <w:rPr>
                <w:sz w:val="24"/>
              </w:rPr>
            </w:pPr>
            <w:r>
              <w:rPr>
                <w:spacing w:val="-2"/>
                <w:sz w:val="24"/>
              </w:rPr>
              <w:t>Making Payments</w:t>
            </w:r>
          </w:p>
        </w:tc>
        <w:tc>
          <w:tcPr>
            <w:tcW w:w="1984" w:type="dxa"/>
          </w:tcPr>
          <w:p>
            <w:pPr>
              <w:pStyle w:val="TableParagraph"/>
              <w:spacing w:line="244" w:lineRule="exact"/>
              <w:ind w:left="107"/>
              <w:rPr>
                <w:sz w:val="24"/>
              </w:rPr>
            </w:pPr>
            <w:r>
              <w:rPr>
                <w:spacing w:val="-2"/>
                <w:sz w:val="24"/>
              </w:rPr>
              <w:t>2.2.2.1</w:t>
            </w:r>
          </w:p>
        </w:tc>
        <w:tc>
          <w:tcPr>
            <w:tcW w:w="1534" w:type="dxa"/>
          </w:tcPr>
          <w:p>
            <w:pPr>
              <w:pStyle w:val="TableParagraph"/>
              <w:spacing w:line="244" w:lineRule="exact"/>
              <w:ind w:left="109"/>
              <w:rPr>
                <w:sz w:val="24"/>
              </w:rPr>
            </w:pPr>
            <w:r>
              <w:rPr>
                <w:spacing w:val="-5"/>
                <w:sz w:val="24"/>
              </w:rPr>
              <w:t>DI</w:t>
            </w:r>
          </w:p>
        </w:tc>
        <w:tc>
          <w:tcPr>
            <w:tcW w:w="3834" w:type="dxa"/>
          </w:tcPr>
          <w:p>
            <w:pPr>
              <w:pStyle w:val="TableParagraph"/>
              <w:spacing w:line="216" w:lineRule="auto"/>
              <w:ind w:left="110" w:right="145"/>
              <w:rPr>
                <w:sz w:val="24"/>
              </w:rPr>
            </w:pPr>
            <w:r>
              <w:rPr>
                <w:sz w:val="24"/>
              </w:rPr>
              <w:t>Capture federal government unique invoice prompt payment information</w:t>
            </w:r>
            <w:r>
              <w:rPr>
                <w:spacing w:val="-4"/>
                <w:sz w:val="24"/>
              </w:rPr>
              <w:t> </w:t>
            </w:r>
            <w:r>
              <w:rPr>
                <w:sz w:val="24"/>
              </w:rPr>
              <w:t>(for</w:t>
            </w:r>
            <w:r>
              <w:rPr>
                <w:spacing w:val="-5"/>
                <w:sz w:val="24"/>
              </w:rPr>
              <w:t> </w:t>
            </w:r>
            <w:r>
              <w:rPr>
                <w:sz w:val="24"/>
              </w:rPr>
              <w:t>example,</w:t>
            </w:r>
            <w:r>
              <w:rPr>
                <w:spacing w:val="-4"/>
                <w:sz w:val="24"/>
              </w:rPr>
              <w:t> </w:t>
            </w:r>
            <w:r>
              <w:rPr>
                <w:sz w:val="24"/>
              </w:rPr>
              <w:t>invoice receipt</w:t>
            </w:r>
            <w:r>
              <w:rPr>
                <w:spacing w:val="-14"/>
                <w:sz w:val="24"/>
              </w:rPr>
              <w:t> </w:t>
            </w:r>
            <w:r>
              <w:rPr>
                <w:sz w:val="24"/>
              </w:rPr>
              <w:t>date,</w:t>
            </w:r>
            <w:r>
              <w:rPr>
                <w:spacing w:val="-14"/>
                <w:sz w:val="24"/>
              </w:rPr>
              <w:t> </w:t>
            </w:r>
            <w:r>
              <w:rPr>
                <w:sz w:val="24"/>
              </w:rPr>
              <w:t>discount,</w:t>
            </w:r>
            <w:r>
              <w:rPr>
                <w:spacing w:val="-13"/>
                <w:sz w:val="24"/>
              </w:rPr>
              <w:t> </w:t>
            </w:r>
            <w:r>
              <w:rPr>
                <w:sz w:val="24"/>
              </w:rPr>
              <w:t>applicable interest rate determined per government formula, and accelerated payment) to support payment of</w:t>
            </w:r>
            <w:r>
              <w:rPr>
                <w:spacing w:val="-1"/>
                <w:sz w:val="24"/>
              </w:rPr>
              <w:t> </w:t>
            </w:r>
            <w:r>
              <w:rPr>
                <w:sz w:val="24"/>
              </w:rPr>
              <w:t>invoices as specified</w:t>
            </w:r>
          </w:p>
          <w:p>
            <w:pPr>
              <w:pStyle w:val="TableParagraph"/>
              <w:spacing w:line="238" w:lineRule="exact"/>
              <w:ind w:left="110"/>
              <w:rPr>
                <w:sz w:val="24"/>
              </w:rPr>
            </w:pPr>
            <w:r>
              <w:rPr>
                <w:sz w:val="24"/>
              </w:rPr>
              <w:t>in</w:t>
            </w:r>
            <w:r>
              <w:rPr>
                <w:spacing w:val="-1"/>
                <w:sz w:val="24"/>
              </w:rPr>
              <w:t> </w:t>
            </w:r>
            <w:r>
              <w:rPr>
                <w:sz w:val="24"/>
              </w:rPr>
              <w:t>the</w:t>
            </w:r>
            <w:r>
              <w:rPr>
                <w:spacing w:val="-1"/>
                <w:sz w:val="24"/>
              </w:rPr>
              <w:t> </w:t>
            </w:r>
            <w:r>
              <w:rPr>
                <w:spacing w:val="-4"/>
                <w:sz w:val="24"/>
              </w:rPr>
              <w:t>CFR.</w:t>
            </w:r>
          </w:p>
        </w:tc>
        <w:tc>
          <w:tcPr>
            <w:tcW w:w="6628" w:type="dxa"/>
          </w:tcPr>
          <w:p>
            <w:pPr>
              <w:pStyle w:val="TableParagraph"/>
              <w:numPr>
                <w:ilvl w:val="0"/>
                <w:numId w:val="41"/>
              </w:numPr>
              <w:tabs>
                <w:tab w:pos="328" w:val="left" w:leader="none"/>
              </w:tabs>
              <w:spacing w:line="247" w:lineRule="exact" w:before="0" w:after="0"/>
              <w:ind w:left="327" w:right="0" w:hanging="217"/>
              <w:jc w:val="left"/>
              <w:rPr>
                <w:sz w:val="24"/>
              </w:rPr>
            </w:pPr>
            <w:hyperlink r:id="rId55">
              <w:r>
                <w:rPr>
                  <w:color w:val="0000FF"/>
                  <w:sz w:val="24"/>
                </w:rPr>
                <w:t>31</w:t>
              </w:r>
              <w:r>
                <w:rPr>
                  <w:color w:val="0000FF"/>
                  <w:spacing w:val="-2"/>
                  <w:sz w:val="24"/>
                </w:rPr>
                <w:t> </w:t>
              </w:r>
              <w:r>
                <w:rPr>
                  <w:color w:val="0000FF"/>
                  <w:sz w:val="24"/>
                </w:rPr>
                <w:t>U.S.C.</w:t>
              </w:r>
              <w:r>
                <w:rPr>
                  <w:color w:val="0000FF"/>
                  <w:spacing w:val="-1"/>
                  <w:sz w:val="24"/>
                </w:rPr>
                <w:t> </w:t>
              </w:r>
              <w:r>
                <w:rPr>
                  <w:color w:val="0000FF"/>
                  <w:sz w:val="24"/>
                </w:rPr>
                <w:t>39</w:t>
              </w:r>
            </w:hyperlink>
            <w:r>
              <w:rPr>
                <w:color w:val="0000FF"/>
                <w:spacing w:val="-1"/>
                <w:sz w:val="24"/>
              </w:rPr>
              <w:t> </w:t>
            </w:r>
            <w:r>
              <w:rPr>
                <w:sz w:val="24"/>
              </w:rPr>
              <w:t>–</w:t>
            </w:r>
            <w:r>
              <w:rPr>
                <w:spacing w:val="-2"/>
                <w:sz w:val="24"/>
              </w:rPr>
              <w:t> </w:t>
            </w:r>
            <w:r>
              <w:rPr>
                <w:sz w:val="24"/>
              </w:rPr>
              <w:t>Prompt</w:t>
            </w:r>
            <w:r>
              <w:rPr>
                <w:spacing w:val="1"/>
                <w:sz w:val="24"/>
              </w:rPr>
              <w:t> </w:t>
            </w:r>
            <w:r>
              <w:rPr>
                <w:spacing w:val="-2"/>
                <w:sz w:val="24"/>
              </w:rPr>
              <w:t>Payment;</w:t>
            </w:r>
          </w:p>
          <w:p>
            <w:pPr>
              <w:pStyle w:val="TableParagraph"/>
              <w:numPr>
                <w:ilvl w:val="0"/>
                <w:numId w:val="41"/>
              </w:numPr>
              <w:tabs>
                <w:tab w:pos="328" w:val="left" w:leader="none"/>
              </w:tabs>
              <w:spacing w:line="265" w:lineRule="exact" w:before="0" w:after="0"/>
              <w:ind w:left="327" w:right="0" w:hanging="217"/>
              <w:jc w:val="left"/>
              <w:rPr>
                <w:sz w:val="24"/>
              </w:rPr>
            </w:pPr>
            <w:hyperlink r:id="rId56">
              <w:r>
                <w:rPr>
                  <w:color w:val="0000FF"/>
                  <w:sz w:val="24"/>
                </w:rPr>
                <w:t>5</w:t>
              </w:r>
              <w:r>
                <w:rPr>
                  <w:color w:val="0000FF"/>
                  <w:spacing w:val="-4"/>
                  <w:sz w:val="24"/>
                </w:rPr>
                <w:t> </w:t>
              </w:r>
              <w:r>
                <w:rPr>
                  <w:color w:val="0000FF"/>
                  <w:sz w:val="24"/>
                </w:rPr>
                <w:t>CFR</w:t>
              </w:r>
              <w:r>
                <w:rPr>
                  <w:color w:val="0000FF"/>
                  <w:spacing w:val="-4"/>
                  <w:sz w:val="24"/>
                </w:rPr>
                <w:t> </w:t>
              </w:r>
              <w:r>
                <w:rPr>
                  <w:color w:val="0000FF"/>
                  <w:sz w:val="24"/>
                </w:rPr>
                <w:t>1315</w:t>
              </w:r>
            </w:hyperlink>
            <w:r>
              <w:rPr>
                <w:sz w:val="24"/>
              </w:rPr>
              <w:t>,</w:t>
            </w:r>
            <w:r>
              <w:rPr>
                <w:spacing w:val="-2"/>
                <w:sz w:val="24"/>
              </w:rPr>
              <w:t> </w:t>
            </w:r>
            <w:r>
              <w:rPr>
                <w:sz w:val="24"/>
              </w:rPr>
              <w:t>Prompt</w:t>
            </w:r>
            <w:r>
              <w:rPr>
                <w:spacing w:val="-5"/>
                <w:sz w:val="24"/>
              </w:rPr>
              <w:t> </w:t>
            </w:r>
            <w:r>
              <w:rPr>
                <w:sz w:val="24"/>
              </w:rPr>
              <w:t>Payment:</w:t>
            </w:r>
            <w:r>
              <w:rPr>
                <w:spacing w:val="-2"/>
                <w:sz w:val="24"/>
              </w:rPr>
              <w:t> </w:t>
            </w:r>
            <w:r>
              <w:rPr>
                <w:sz w:val="24"/>
              </w:rPr>
              <w:t>1315.2</w:t>
            </w:r>
            <w:r>
              <w:rPr>
                <w:spacing w:val="-4"/>
                <w:sz w:val="24"/>
              </w:rPr>
              <w:t> </w:t>
            </w:r>
            <w:r>
              <w:rPr>
                <w:sz w:val="24"/>
              </w:rPr>
              <w:t>Definitions,</w:t>
            </w:r>
            <w:r>
              <w:rPr>
                <w:spacing w:val="-2"/>
                <w:sz w:val="24"/>
              </w:rPr>
              <w:t> 1315.7</w:t>
            </w:r>
          </w:p>
          <w:p>
            <w:pPr>
              <w:pStyle w:val="TableParagraph"/>
              <w:spacing w:line="216" w:lineRule="auto" w:before="7"/>
              <w:rPr>
                <w:sz w:val="24"/>
              </w:rPr>
            </w:pPr>
            <w:r>
              <w:rPr>
                <w:sz w:val="24"/>
              </w:rPr>
              <w:t>Discounts,</w:t>
            </w:r>
            <w:r>
              <w:rPr>
                <w:spacing w:val="-9"/>
                <w:sz w:val="24"/>
              </w:rPr>
              <w:t> </w:t>
            </w:r>
            <w:r>
              <w:rPr>
                <w:sz w:val="24"/>
              </w:rPr>
              <w:t>1315.9</w:t>
            </w:r>
            <w:r>
              <w:rPr>
                <w:spacing w:val="-8"/>
                <w:sz w:val="24"/>
              </w:rPr>
              <w:t> </w:t>
            </w:r>
            <w:r>
              <w:rPr>
                <w:sz w:val="24"/>
              </w:rPr>
              <w:t>Required</w:t>
            </w:r>
            <w:r>
              <w:rPr>
                <w:spacing w:val="-8"/>
                <w:sz w:val="24"/>
              </w:rPr>
              <w:t> </w:t>
            </w:r>
            <w:r>
              <w:rPr>
                <w:sz w:val="24"/>
              </w:rPr>
              <w:t>documentation,</w:t>
            </w:r>
            <w:r>
              <w:rPr>
                <w:spacing w:val="-7"/>
                <w:sz w:val="24"/>
              </w:rPr>
              <w:t> </w:t>
            </w:r>
            <w:r>
              <w:rPr>
                <w:sz w:val="24"/>
              </w:rPr>
              <w:t>1315.10</w:t>
            </w:r>
            <w:r>
              <w:rPr>
                <w:spacing w:val="-8"/>
                <w:sz w:val="24"/>
              </w:rPr>
              <w:t> </w:t>
            </w:r>
            <w:r>
              <w:rPr>
                <w:sz w:val="24"/>
              </w:rPr>
              <w:t>Late payment interest penalties, 1315.11 Additional penalties, and 1315.5 Accelerated payment methods,</w:t>
            </w:r>
          </w:p>
          <w:p>
            <w:pPr>
              <w:pStyle w:val="TableParagraph"/>
              <w:numPr>
                <w:ilvl w:val="0"/>
                <w:numId w:val="41"/>
              </w:numPr>
              <w:tabs>
                <w:tab w:pos="328" w:val="left" w:leader="none"/>
              </w:tabs>
              <w:spacing w:line="271" w:lineRule="exact" w:before="0" w:after="0"/>
              <w:ind w:left="327" w:right="0" w:hanging="217"/>
              <w:jc w:val="left"/>
              <w:rPr>
                <w:sz w:val="24"/>
              </w:rPr>
            </w:pPr>
            <w:hyperlink r:id="rId53">
              <w:r>
                <w:rPr>
                  <w:color w:val="0000FF"/>
                  <w:sz w:val="24"/>
                </w:rPr>
                <w:t>48</w:t>
              </w:r>
              <w:r>
                <w:rPr>
                  <w:color w:val="0000FF"/>
                  <w:spacing w:val="-3"/>
                  <w:sz w:val="24"/>
                </w:rPr>
                <w:t> </w:t>
              </w:r>
              <w:r>
                <w:rPr>
                  <w:color w:val="0000FF"/>
                  <w:sz w:val="24"/>
                </w:rPr>
                <w:t>CFR</w:t>
              </w:r>
              <w:r>
                <w:rPr>
                  <w:color w:val="0000FF"/>
                  <w:spacing w:val="-3"/>
                  <w:sz w:val="24"/>
                </w:rPr>
                <w:t> </w:t>
              </w:r>
              <w:r>
                <w:rPr>
                  <w:color w:val="0000FF"/>
                  <w:sz w:val="24"/>
                </w:rPr>
                <w:t>32</w:t>
              </w:r>
            </w:hyperlink>
            <w:r>
              <w:rPr>
                <w:sz w:val="24"/>
              </w:rPr>
              <w:t>, Contract</w:t>
            </w:r>
            <w:r>
              <w:rPr>
                <w:spacing w:val="-5"/>
                <w:sz w:val="24"/>
              </w:rPr>
              <w:t> </w:t>
            </w:r>
            <w:r>
              <w:rPr>
                <w:spacing w:val="-2"/>
                <w:sz w:val="24"/>
              </w:rPr>
              <w:t>Financing.</w:t>
            </w:r>
          </w:p>
        </w:tc>
      </w:tr>
      <w:tr>
        <w:trPr>
          <w:trHeight w:val="1988"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5" w:lineRule="exact"/>
              <w:ind w:left="107"/>
              <w:rPr>
                <w:sz w:val="24"/>
              </w:rPr>
            </w:pPr>
            <w:r>
              <w:rPr>
                <w:spacing w:val="-2"/>
                <w:sz w:val="24"/>
              </w:rPr>
              <w:t>2.2.2.2</w:t>
            </w:r>
          </w:p>
        </w:tc>
        <w:tc>
          <w:tcPr>
            <w:tcW w:w="1534" w:type="dxa"/>
          </w:tcPr>
          <w:p>
            <w:pPr>
              <w:pStyle w:val="TableParagraph"/>
              <w:spacing w:line="245" w:lineRule="exact"/>
              <w:ind w:left="109"/>
              <w:rPr>
                <w:sz w:val="24"/>
              </w:rPr>
            </w:pPr>
            <w:r>
              <w:rPr>
                <w:sz w:val="24"/>
              </w:rPr>
              <w:t>P</w:t>
            </w:r>
          </w:p>
        </w:tc>
        <w:tc>
          <w:tcPr>
            <w:tcW w:w="3834" w:type="dxa"/>
          </w:tcPr>
          <w:p>
            <w:pPr>
              <w:pStyle w:val="TableParagraph"/>
              <w:spacing w:line="216" w:lineRule="auto"/>
              <w:ind w:left="110" w:right="145"/>
              <w:rPr>
                <w:sz w:val="24"/>
              </w:rPr>
            </w:pPr>
            <w:r>
              <w:rPr>
                <w:sz w:val="24"/>
              </w:rPr>
              <w:t>Determine disbursement terms and amounts in accordance with the terms of the contract or agreement, and based on determination of invoice term, payment</w:t>
            </w:r>
            <w:r>
              <w:rPr>
                <w:spacing w:val="-10"/>
                <w:sz w:val="24"/>
              </w:rPr>
              <w:t> </w:t>
            </w:r>
            <w:r>
              <w:rPr>
                <w:sz w:val="24"/>
              </w:rPr>
              <w:t>date,</w:t>
            </w:r>
            <w:r>
              <w:rPr>
                <w:spacing w:val="-10"/>
                <w:sz w:val="24"/>
              </w:rPr>
              <w:t> </w:t>
            </w:r>
            <w:r>
              <w:rPr>
                <w:sz w:val="24"/>
              </w:rPr>
              <w:t>interest</w:t>
            </w:r>
            <w:r>
              <w:rPr>
                <w:spacing w:val="-9"/>
                <w:sz w:val="24"/>
              </w:rPr>
              <w:t> </w:t>
            </w:r>
            <w:r>
              <w:rPr>
                <w:sz w:val="24"/>
              </w:rPr>
              <w:t>or</w:t>
            </w:r>
            <w:r>
              <w:rPr>
                <w:spacing w:val="-10"/>
                <w:sz w:val="24"/>
              </w:rPr>
              <w:t> </w:t>
            </w:r>
            <w:r>
              <w:rPr>
                <w:sz w:val="24"/>
              </w:rPr>
              <w:t>penalty</w:t>
            </w:r>
          </w:p>
          <w:p>
            <w:pPr>
              <w:pStyle w:val="TableParagraph"/>
              <w:spacing w:line="248" w:lineRule="exact"/>
              <w:ind w:left="110" w:right="145"/>
              <w:rPr>
                <w:sz w:val="24"/>
              </w:rPr>
            </w:pPr>
            <w:r>
              <w:rPr>
                <w:sz w:val="24"/>
              </w:rPr>
              <w:t>applicable,</w:t>
            </w:r>
            <w:r>
              <w:rPr>
                <w:spacing w:val="-13"/>
                <w:sz w:val="24"/>
              </w:rPr>
              <w:t> </w:t>
            </w:r>
            <w:r>
              <w:rPr>
                <w:sz w:val="24"/>
              </w:rPr>
              <w:t>and</w:t>
            </w:r>
            <w:r>
              <w:rPr>
                <w:spacing w:val="-13"/>
                <w:sz w:val="24"/>
              </w:rPr>
              <w:t> </w:t>
            </w:r>
            <w:r>
              <w:rPr>
                <w:sz w:val="24"/>
              </w:rPr>
              <w:t>amount</w:t>
            </w:r>
            <w:r>
              <w:rPr>
                <w:spacing w:val="-12"/>
                <w:sz w:val="24"/>
              </w:rPr>
              <w:t> </w:t>
            </w:r>
            <w:r>
              <w:rPr>
                <w:sz w:val="24"/>
              </w:rPr>
              <w:t>as specified in the CFR.</w:t>
            </w:r>
          </w:p>
        </w:tc>
        <w:tc>
          <w:tcPr>
            <w:tcW w:w="6628" w:type="dxa"/>
          </w:tcPr>
          <w:p>
            <w:pPr>
              <w:pStyle w:val="TableParagraph"/>
              <w:numPr>
                <w:ilvl w:val="0"/>
                <w:numId w:val="42"/>
              </w:numPr>
              <w:tabs>
                <w:tab w:pos="328" w:val="left" w:leader="none"/>
              </w:tabs>
              <w:spacing w:line="213" w:lineRule="auto" w:before="0" w:after="0"/>
              <w:ind w:left="327" w:right="353" w:hanging="216"/>
              <w:jc w:val="left"/>
              <w:rPr>
                <w:sz w:val="24"/>
              </w:rPr>
            </w:pPr>
            <w:hyperlink r:id="rId56">
              <w:r>
                <w:rPr>
                  <w:color w:val="0000FF"/>
                  <w:sz w:val="24"/>
                </w:rPr>
                <w:t>5</w:t>
              </w:r>
              <w:r>
                <w:rPr>
                  <w:color w:val="0000FF"/>
                  <w:spacing w:val="-6"/>
                  <w:sz w:val="24"/>
                </w:rPr>
                <w:t> </w:t>
              </w:r>
              <w:r>
                <w:rPr>
                  <w:color w:val="0000FF"/>
                  <w:sz w:val="24"/>
                </w:rPr>
                <w:t>CFR</w:t>
              </w:r>
              <w:r>
                <w:rPr>
                  <w:color w:val="0000FF"/>
                  <w:spacing w:val="-6"/>
                  <w:sz w:val="24"/>
                </w:rPr>
                <w:t> </w:t>
              </w:r>
              <w:r>
                <w:rPr>
                  <w:color w:val="0000FF"/>
                  <w:sz w:val="24"/>
                </w:rPr>
                <w:t>1315</w:t>
              </w:r>
            </w:hyperlink>
            <w:r>
              <w:rPr>
                <w:sz w:val="24"/>
              </w:rPr>
              <w:t>,</w:t>
            </w:r>
            <w:r>
              <w:rPr>
                <w:spacing w:val="-5"/>
                <w:sz w:val="24"/>
              </w:rPr>
              <w:t> </w:t>
            </w:r>
            <w:r>
              <w:rPr>
                <w:sz w:val="24"/>
              </w:rPr>
              <w:t>Prompt</w:t>
            </w:r>
            <w:r>
              <w:rPr>
                <w:spacing w:val="-7"/>
                <w:sz w:val="24"/>
              </w:rPr>
              <w:t> </w:t>
            </w:r>
            <w:r>
              <w:rPr>
                <w:sz w:val="24"/>
              </w:rPr>
              <w:t>Payment,</w:t>
            </w:r>
            <w:r>
              <w:rPr>
                <w:spacing w:val="-5"/>
                <w:sz w:val="24"/>
              </w:rPr>
              <w:t> </w:t>
            </w:r>
            <w:r>
              <w:rPr>
                <w:sz w:val="24"/>
              </w:rPr>
              <w:t>1315.4</w:t>
            </w:r>
            <w:r>
              <w:rPr>
                <w:spacing w:val="-6"/>
                <w:sz w:val="24"/>
              </w:rPr>
              <w:t> </w:t>
            </w:r>
            <w:r>
              <w:rPr>
                <w:sz w:val="24"/>
              </w:rPr>
              <w:t>Prompt</w:t>
            </w:r>
            <w:r>
              <w:rPr>
                <w:spacing w:val="-6"/>
                <w:sz w:val="24"/>
              </w:rPr>
              <w:t> </w:t>
            </w:r>
            <w:r>
              <w:rPr>
                <w:sz w:val="24"/>
              </w:rPr>
              <w:t>Payment Standards and Required Notice to</w:t>
            </w:r>
            <w:r>
              <w:rPr>
                <w:spacing w:val="-11"/>
                <w:sz w:val="24"/>
              </w:rPr>
              <w:t> </w:t>
            </w:r>
            <w:r>
              <w:rPr>
                <w:sz w:val="24"/>
              </w:rPr>
              <w:t>Vendors,</w:t>
            </w:r>
          </w:p>
          <w:p>
            <w:pPr>
              <w:pStyle w:val="TableParagraph"/>
              <w:numPr>
                <w:ilvl w:val="0"/>
                <w:numId w:val="42"/>
              </w:numPr>
              <w:tabs>
                <w:tab w:pos="328" w:val="left" w:leader="none"/>
              </w:tabs>
              <w:spacing w:line="273" w:lineRule="exact" w:before="0" w:after="0"/>
              <w:ind w:left="327" w:right="0" w:hanging="217"/>
              <w:jc w:val="left"/>
              <w:rPr>
                <w:sz w:val="24"/>
              </w:rPr>
            </w:pPr>
            <w:hyperlink r:id="rId53">
              <w:r>
                <w:rPr>
                  <w:color w:val="0000FF"/>
                  <w:sz w:val="24"/>
                </w:rPr>
                <w:t>48</w:t>
              </w:r>
              <w:r>
                <w:rPr>
                  <w:color w:val="0000FF"/>
                  <w:spacing w:val="-3"/>
                  <w:sz w:val="24"/>
                </w:rPr>
                <w:t> </w:t>
              </w:r>
              <w:r>
                <w:rPr>
                  <w:color w:val="0000FF"/>
                  <w:sz w:val="24"/>
                </w:rPr>
                <w:t>CFR</w:t>
              </w:r>
              <w:r>
                <w:rPr>
                  <w:color w:val="0000FF"/>
                  <w:spacing w:val="-2"/>
                  <w:sz w:val="24"/>
                </w:rPr>
                <w:t> </w:t>
              </w:r>
              <w:r>
                <w:rPr>
                  <w:color w:val="0000FF"/>
                  <w:sz w:val="24"/>
                </w:rPr>
                <w:t>32</w:t>
              </w:r>
            </w:hyperlink>
            <w:r>
              <w:rPr>
                <w:sz w:val="24"/>
              </w:rPr>
              <w:t>,</w:t>
            </w:r>
            <w:r>
              <w:rPr>
                <w:spacing w:val="-1"/>
                <w:sz w:val="24"/>
              </w:rPr>
              <w:t> </w:t>
            </w:r>
            <w:r>
              <w:rPr>
                <w:sz w:val="24"/>
              </w:rPr>
              <w:t>Contract</w:t>
            </w:r>
            <w:r>
              <w:rPr>
                <w:spacing w:val="-4"/>
                <w:sz w:val="24"/>
              </w:rPr>
              <w:t> </w:t>
            </w:r>
            <w:r>
              <w:rPr>
                <w:spacing w:val="-2"/>
                <w:sz w:val="24"/>
              </w:rPr>
              <w:t>Financing.</w:t>
            </w:r>
          </w:p>
        </w:tc>
      </w:tr>
      <w:tr>
        <w:trPr>
          <w:trHeight w:val="3060"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2.2.2.3</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45"/>
              <w:rPr>
                <w:sz w:val="24"/>
              </w:rPr>
            </w:pPr>
            <w:r>
              <w:rPr>
                <w:sz w:val="24"/>
              </w:rPr>
              <w:t>Provide certified payment transaction information for the disbursing office to make disbursements</w:t>
            </w:r>
            <w:r>
              <w:rPr>
                <w:spacing w:val="-10"/>
                <w:sz w:val="24"/>
              </w:rPr>
              <w:t> </w:t>
            </w:r>
            <w:r>
              <w:rPr>
                <w:sz w:val="24"/>
              </w:rPr>
              <w:t>as</w:t>
            </w:r>
            <w:r>
              <w:rPr>
                <w:spacing w:val="-10"/>
                <w:sz w:val="24"/>
              </w:rPr>
              <w:t> </w:t>
            </w:r>
            <w:r>
              <w:rPr>
                <w:sz w:val="24"/>
              </w:rPr>
              <w:t>specified</w:t>
            </w:r>
            <w:r>
              <w:rPr>
                <w:spacing w:val="-10"/>
                <w:sz w:val="24"/>
              </w:rPr>
              <w:t> </w:t>
            </w:r>
            <w:r>
              <w:rPr>
                <w:sz w:val="24"/>
              </w:rPr>
              <w:t>in</w:t>
            </w:r>
            <w:r>
              <w:rPr>
                <w:spacing w:val="-10"/>
                <w:sz w:val="24"/>
              </w:rPr>
              <w:t> </w:t>
            </w:r>
            <w:r>
              <w:rPr>
                <w:sz w:val="24"/>
              </w:rPr>
              <w:t>the </w:t>
            </w:r>
            <w:r>
              <w:rPr>
                <w:spacing w:val="-4"/>
                <w:sz w:val="24"/>
              </w:rPr>
              <w:t>TFM.</w:t>
            </w:r>
          </w:p>
        </w:tc>
        <w:tc>
          <w:tcPr>
            <w:tcW w:w="6628" w:type="dxa"/>
          </w:tcPr>
          <w:p>
            <w:pPr>
              <w:pStyle w:val="TableParagraph"/>
              <w:numPr>
                <w:ilvl w:val="0"/>
                <w:numId w:val="43"/>
              </w:numPr>
              <w:tabs>
                <w:tab w:pos="328" w:val="left" w:leader="none"/>
              </w:tabs>
              <w:spacing w:line="213" w:lineRule="auto" w:before="0" w:after="0"/>
              <w:ind w:left="327" w:right="234" w:hanging="216"/>
              <w:jc w:val="left"/>
              <w:rPr>
                <w:sz w:val="24"/>
              </w:rPr>
            </w:pPr>
            <w:r>
              <w:rPr>
                <w:sz w:val="24"/>
              </w:rPr>
              <w:t>TFM</w:t>
            </w:r>
            <w:r>
              <w:rPr>
                <w:spacing w:val="-4"/>
                <w:sz w:val="24"/>
              </w:rPr>
              <w:t> </w:t>
            </w:r>
            <w:hyperlink r:id="rId52">
              <w:r>
                <w:rPr>
                  <w:color w:val="0000FF"/>
                  <w:sz w:val="24"/>
                  <w:u w:val="single" w:color="0000FF"/>
                </w:rPr>
                <w:t>Volume</w:t>
              </w:r>
              <w:r>
                <w:rPr>
                  <w:color w:val="0000FF"/>
                  <w:spacing w:val="-5"/>
                  <w:sz w:val="24"/>
                  <w:u w:val="single" w:color="0000FF"/>
                </w:rPr>
                <w:t> </w:t>
              </w:r>
              <w:r>
                <w:rPr>
                  <w:color w:val="0000FF"/>
                  <w:sz w:val="24"/>
                  <w:u w:val="single" w:color="0000FF"/>
                </w:rPr>
                <w:t>I,</w:t>
              </w:r>
              <w:r>
                <w:rPr>
                  <w:color w:val="0000FF"/>
                  <w:spacing w:val="-6"/>
                  <w:sz w:val="24"/>
                  <w:u w:val="single" w:color="0000FF"/>
                </w:rPr>
                <w:t> </w:t>
              </w:r>
              <w:r>
                <w:rPr>
                  <w:color w:val="0000FF"/>
                  <w:sz w:val="24"/>
                  <w:u w:val="single" w:color="0000FF"/>
                </w:rPr>
                <w:t>Part</w:t>
              </w:r>
              <w:r>
                <w:rPr>
                  <w:color w:val="0000FF"/>
                  <w:spacing w:val="-7"/>
                  <w:sz w:val="24"/>
                  <w:u w:val="single" w:color="0000FF"/>
                </w:rPr>
                <w:t> </w:t>
              </w:r>
              <w:r>
                <w:rPr>
                  <w:color w:val="0000FF"/>
                  <w:sz w:val="24"/>
                  <w:u w:val="single" w:color="0000FF"/>
                </w:rPr>
                <w:t>4A,</w:t>
              </w:r>
              <w:r>
                <w:rPr>
                  <w:color w:val="0000FF"/>
                  <w:spacing w:val="-4"/>
                  <w:sz w:val="24"/>
                  <w:u w:val="single" w:color="0000FF"/>
                </w:rPr>
                <w:t> </w:t>
              </w:r>
              <w:r>
                <w:rPr>
                  <w:color w:val="0000FF"/>
                  <w:sz w:val="24"/>
                  <w:u w:val="single" w:color="0000FF"/>
                </w:rPr>
                <w:t>Chapter</w:t>
              </w:r>
              <w:r>
                <w:rPr>
                  <w:color w:val="0000FF"/>
                  <w:spacing w:val="-4"/>
                  <w:sz w:val="24"/>
                  <w:u w:val="single" w:color="0000FF"/>
                </w:rPr>
                <w:t> </w:t>
              </w:r>
              <w:r>
                <w:rPr>
                  <w:color w:val="0000FF"/>
                  <w:sz w:val="24"/>
                  <w:u w:val="single" w:color="0000FF"/>
                </w:rPr>
                <w:t>2000</w:t>
              </w:r>
            </w:hyperlink>
            <w:r>
              <w:rPr>
                <w:color w:val="0000FF"/>
                <w:spacing w:val="-5"/>
                <w:sz w:val="24"/>
                <w:u w:val="single" w:color="0000FF"/>
              </w:rPr>
              <w:t> </w:t>
            </w:r>
            <w:r>
              <w:rPr>
                <w:sz w:val="24"/>
              </w:rPr>
              <w:t>Overall</w:t>
            </w:r>
            <w:r>
              <w:rPr>
                <w:spacing w:val="-6"/>
                <w:sz w:val="24"/>
              </w:rPr>
              <w:t> </w:t>
            </w:r>
            <w:r>
              <w:rPr>
                <w:sz w:val="24"/>
              </w:rPr>
              <w:t>Disbursing Rules for All Federal Agencies;</w:t>
            </w:r>
          </w:p>
          <w:p>
            <w:pPr>
              <w:pStyle w:val="TableParagraph"/>
              <w:numPr>
                <w:ilvl w:val="0"/>
                <w:numId w:val="43"/>
              </w:numPr>
              <w:tabs>
                <w:tab w:pos="328" w:val="left" w:leader="none"/>
              </w:tabs>
              <w:spacing w:line="216" w:lineRule="auto" w:before="0" w:after="0"/>
              <w:ind w:left="327" w:right="353" w:hanging="216"/>
              <w:jc w:val="left"/>
              <w:rPr>
                <w:sz w:val="24"/>
              </w:rPr>
            </w:pPr>
            <w:r>
              <w:rPr>
                <w:sz w:val="24"/>
              </w:rPr>
              <w:t>TFM</w:t>
            </w:r>
            <w:r>
              <w:rPr>
                <w:spacing w:val="-4"/>
                <w:sz w:val="24"/>
              </w:rPr>
              <w:t> </w:t>
            </w:r>
            <w:hyperlink r:id="rId54">
              <w:r>
                <w:rPr>
                  <w:color w:val="0000FF"/>
                  <w:sz w:val="24"/>
                  <w:u w:val="single" w:color="0000FF"/>
                </w:rPr>
                <w:t>Volume</w:t>
              </w:r>
              <w:r>
                <w:rPr>
                  <w:color w:val="0000FF"/>
                  <w:spacing w:val="-5"/>
                  <w:sz w:val="24"/>
                  <w:u w:val="single" w:color="0000FF"/>
                </w:rPr>
                <w:t> </w:t>
              </w:r>
              <w:r>
                <w:rPr>
                  <w:color w:val="0000FF"/>
                  <w:sz w:val="24"/>
                  <w:u w:val="single" w:color="0000FF"/>
                </w:rPr>
                <w:t>I,</w:t>
              </w:r>
              <w:r>
                <w:rPr>
                  <w:color w:val="0000FF"/>
                  <w:spacing w:val="-6"/>
                  <w:sz w:val="24"/>
                  <w:u w:val="single" w:color="0000FF"/>
                </w:rPr>
                <w:t> </w:t>
              </w:r>
              <w:r>
                <w:rPr>
                  <w:color w:val="0000FF"/>
                  <w:sz w:val="24"/>
                  <w:u w:val="single" w:color="0000FF"/>
                </w:rPr>
                <w:t>Part</w:t>
              </w:r>
              <w:r>
                <w:rPr>
                  <w:color w:val="0000FF"/>
                  <w:spacing w:val="-7"/>
                  <w:sz w:val="24"/>
                  <w:u w:val="single" w:color="0000FF"/>
                </w:rPr>
                <w:t> </w:t>
              </w:r>
              <w:r>
                <w:rPr>
                  <w:color w:val="0000FF"/>
                  <w:sz w:val="24"/>
                  <w:u w:val="single" w:color="0000FF"/>
                </w:rPr>
                <w:t>4A,</w:t>
              </w:r>
              <w:r>
                <w:rPr>
                  <w:color w:val="0000FF"/>
                  <w:spacing w:val="-4"/>
                  <w:sz w:val="24"/>
                  <w:u w:val="single" w:color="0000FF"/>
                </w:rPr>
                <w:t> </w:t>
              </w:r>
              <w:r>
                <w:rPr>
                  <w:color w:val="0000FF"/>
                  <w:sz w:val="24"/>
                  <w:u w:val="single" w:color="0000FF"/>
                </w:rPr>
                <w:t>Chapter</w:t>
              </w:r>
              <w:r>
                <w:rPr>
                  <w:color w:val="0000FF"/>
                  <w:spacing w:val="-4"/>
                  <w:sz w:val="24"/>
                  <w:u w:val="single" w:color="0000FF"/>
                </w:rPr>
                <w:t> </w:t>
              </w:r>
              <w:r>
                <w:rPr>
                  <w:color w:val="0000FF"/>
                  <w:sz w:val="24"/>
                  <w:u w:val="single" w:color="0000FF"/>
                </w:rPr>
                <w:t>3000</w:t>
              </w:r>
            </w:hyperlink>
            <w:r>
              <w:rPr>
                <w:color w:val="0000FF"/>
                <w:spacing w:val="-5"/>
                <w:sz w:val="24"/>
                <w:u w:val="single" w:color="0000FF"/>
              </w:rPr>
              <w:t> </w:t>
            </w:r>
            <w:r>
              <w:rPr>
                <w:sz w:val="24"/>
              </w:rPr>
              <w:t>Requirements</w:t>
            </w:r>
            <w:r>
              <w:rPr>
                <w:spacing w:val="-5"/>
                <w:sz w:val="24"/>
              </w:rPr>
              <w:t> </w:t>
            </w:r>
            <w:r>
              <w:rPr>
                <w:sz w:val="24"/>
              </w:rPr>
              <w:t>for Scheduling Payments Disbursed by the Bureau of the Fiscal Service;</w:t>
            </w:r>
          </w:p>
          <w:p>
            <w:pPr>
              <w:pStyle w:val="TableParagraph"/>
              <w:numPr>
                <w:ilvl w:val="0"/>
                <w:numId w:val="43"/>
              </w:numPr>
              <w:tabs>
                <w:tab w:pos="328" w:val="left" w:leader="none"/>
              </w:tabs>
              <w:spacing w:line="213" w:lineRule="auto" w:before="0" w:after="0"/>
              <w:ind w:left="327" w:right="1034" w:hanging="216"/>
              <w:jc w:val="left"/>
              <w:rPr>
                <w:sz w:val="24"/>
              </w:rPr>
            </w:pPr>
            <w:r>
              <w:rPr>
                <w:sz w:val="24"/>
              </w:rPr>
              <w:t>TFM</w:t>
            </w:r>
            <w:r>
              <w:rPr>
                <w:spacing w:val="-5"/>
                <w:sz w:val="24"/>
              </w:rPr>
              <w:t> </w:t>
            </w:r>
            <w:hyperlink r:id="rId57">
              <w:r>
                <w:rPr>
                  <w:color w:val="0000FF"/>
                  <w:sz w:val="24"/>
                  <w:u w:val="single" w:color="0000FF"/>
                </w:rPr>
                <w:t>Volume</w:t>
              </w:r>
              <w:r>
                <w:rPr>
                  <w:color w:val="0000FF"/>
                  <w:spacing w:val="-6"/>
                  <w:sz w:val="24"/>
                  <w:u w:val="single" w:color="0000FF"/>
                </w:rPr>
                <w:t> </w:t>
              </w:r>
              <w:r>
                <w:rPr>
                  <w:color w:val="0000FF"/>
                  <w:sz w:val="24"/>
                  <w:u w:val="single" w:color="0000FF"/>
                </w:rPr>
                <w:t>I,</w:t>
              </w:r>
              <w:r>
                <w:rPr>
                  <w:color w:val="0000FF"/>
                  <w:spacing w:val="-7"/>
                  <w:sz w:val="24"/>
                  <w:u w:val="single" w:color="0000FF"/>
                </w:rPr>
                <w:t> </w:t>
              </w:r>
              <w:r>
                <w:rPr>
                  <w:color w:val="0000FF"/>
                  <w:sz w:val="24"/>
                  <w:u w:val="single" w:color="0000FF"/>
                </w:rPr>
                <w:t>Part</w:t>
              </w:r>
              <w:r>
                <w:rPr>
                  <w:color w:val="0000FF"/>
                  <w:spacing w:val="-7"/>
                  <w:sz w:val="24"/>
                  <w:u w:val="single" w:color="0000FF"/>
                </w:rPr>
                <w:t> </w:t>
              </w:r>
              <w:r>
                <w:rPr>
                  <w:color w:val="0000FF"/>
                  <w:sz w:val="24"/>
                  <w:u w:val="single" w:color="0000FF"/>
                </w:rPr>
                <w:t>4,</w:t>
              </w:r>
              <w:r>
                <w:rPr>
                  <w:color w:val="0000FF"/>
                  <w:spacing w:val="-6"/>
                  <w:sz w:val="24"/>
                  <w:u w:val="single" w:color="0000FF"/>
                </w:rPr>
                <w:t> </w:t>
              </w:r>
              <w:r>
                <w:rPr>
                  <w:color w:val="0000FF"/>
                  <w:sz w:val="24"/>
                  <w:u w:val="single" w:color="0000FF"/>
                </w:rPr>
                <w:t>Chapter</w:t>
              </w:r>
              <w:r>
                <w:rPr>
                  <w:color w:val="0000FF"/>
                  <w:spacing w:val="-7"/>
                  <w:sz w:val="24"/>
                  <w:u w:val="single" w:color="0000FF"/>
                </w:rPr>
                <w:t> </w:t>
              </w:r>
              <w:r>
                <w:rPr>
                  <w:color w:val="0000FF"/>
                  <w:sz w:val="24"/>
                  <w:u w:val="single" w:color="0000FF"/>
                </w:rPr>
                <w:t>4500</w:t>
              </w:r>
            </w:hyperlink>
            <w:r>
              <w:rPr>
                <w:color w:val="0000FF"/>
                <w:spacing w:val="-6"/>
                <w:sz w:val="24"/>
                <w:u w:val="single" w:color="0000FF"/>
              </w:rPr>
              <w:t> </w:t>
            </w:r>
            <w:r>
              <w:rPr>
                <w:sz w:val="24"/>
              </w:rPr>
              <w:t>Government Purchase Cards.</w:t>
            </w:r>
          </w:p>
          <w:p>
            <w:pPr>
              <w:pStyle w:val="TableParagraph"/>
              <w:numPr>
                <w:ilvl w:val="0"/>
                <w:numId w:val="43"/>
              </w:numPr>
              <w:tabs>
                <w:tab w:pos="328" w:val="left" w:leader="none"/>
              </w:tabs>
              <w:spacing w:line="216" w:lineRule="auto" w:before="2" w:after="0"/>
              <w:ind w:left="327" w:right="353" w:hanging="216"/>
              <w:jc w:val="left"/>
              <w:rPr>
                <w:sz w:val="24"/>
              </w:rPr>
            </w:pPr>
            <w:r>
              <w:rPr>
                <w:sz w:val="24"/>
              </w:rPr>
              <w:t>TFM</w:t>
            </w:r>
            <w:r>
              <w:rPr>
                <w:spacing w:val="-4"/>
                <w:sz w:val="24"/>
              </w:rPr>
              <w:t> </w:t>
            </w:r>
            <w:r>
              <w:rPr>
                <w:sz w:val="24"/>
              </w:rPr>
              <w:t>Volume</w:t>
            </w:r>
            <w:r>
              <w:rPr>
                <w:spacing w:val="-5"/>
                <w:sz w:val="24"/>
              </w:rPr>
              <w:t> </w:t>
            </w:r>
            <w:r>
              <w:rPr>
                <w:sz w:val="24"/>
              </w:rPr>
              <w:t>I,</w:t>
            </w:r>
            <w:r>
              <w:rPr>
                <w:spacing w:val="-6"/>
                <w:sz w:val="24"/>
              </w:rPr>
              <w:t> </w:t>
            </w:r>
            <w:r>
              <w:rPr>
                <w:sz w:val="24"/>
              </w:rPr>
              <w:t>Part</w:t>
            </w:r>
            <w:r>
              <w:rPr>
                <w:spacing w:val="-7"/>
                <w:sz w:val="24"/>
              </w:rPr>
              <w:t> </w:t>
            </w:r>
            <w:r>
              <w:rPr>
                <w:sz w:val="24"/>
              </w:rPr>
              <w:t>4A,</w:t>
            </w:r>
            <w:r>
              <w:rPr>
                <w:spacing w:val="-4"/>
                <w:sz w:val="24"/>
              </w:rPr>
              <w:t> </w:t>
            </w:r>
            <w:r>
              <w:rPr>
                <w:sz w:val="24"/>
              </w:rPr>
              <w:t>Chapter</w:t>
            </w:r>
            <w:r>
              <w:rPr>
                <w:spacing w:val="-4"/>
                <w:sz w:val="24"/>
              </w:rPr>
              <w:t> </w:t>
            </w:r>
            <w:r>
              <w:rPr>
                <w:sz w:val="24"/>
              </w:rPr>
              <w:t>3000</w:t>
            </w:r>
            <w:r>
              <w:rPr>
                <w:spacing w:val="-5"/>
                <w:sz w:val="24"/>
              </w:rPr>
              <w:t> </w:t>
            </w:r>
            <w:r>
              <w:rPr>
                <w:sz w:val="24"/>
              </w:rPr>
              <w:t>Requirements</w:t>
            </w:r>
            <w:r>
              <w:rPr>
                <w:spacing w:val="-5"/>
                <w:sz w:val="24"/>
              </w:rPr>
              <w:t> </w:t>
            </w:r>
            <w:r>
              <w:rPr>
                <w:sz w:val="24"/>
              </w:rPr>
              <w:t>for Scheduling Payments Disbursed by the Bureau of the Fiscal Service;</w:t>
            </w:r>
          </w:p>
          <w:p>
            <w:pPr>
              <w:pStyle w:val="TableParagraph"/>
              <w:numPr>
                <w:ilvl w:val="0"/>
                <w:numId w:val="43"/>
              </w:numPr>
              <w:tabs>
                <w:tab w:pos="328" w:val="left" w:leader="none"/>
              </w:tabs>
              <w:spacing w:line="248" w:lineRule="exact" w:before="5" w:after="0"/>
              <w:ind w:left="327" w:right="554" w:hanging="216"/>
              <w:jc w:val="left"/>
              <w:rPr>
                <w:sz w:val="24"/>
              </w:rPr>
            </w:pPr>
            <w:hyperlink r:id="rId58">
              <w:r>
                <w:rPr>
                  <w:color w:val="0000FF"/>
                  <w:sz w:val="24"/>
                  <w:u w:val="single" w:color="0000FF"/>
                </w:rPr>
                <w:t>OMB</w:t>
              </w:r>
              <w:r>
                <w:rPr>
                  <w:color w:val="0000FF"/>
                  <w:spacing w:val="-6"/>
                  <w:sz w:val="24"/>
                  <w:u w:val="single" w:color="0000FF"/>
                </w:rPr>
                <w:t> </w:t>
              </w:r>
              <w:r>
                <w:rPr>
                  <w:color w:val="0000FF"/>
                  <w:sz w:val="24"/>
                  <w:u w:val="single" w:color="0000FF"/>
                </w:rPr>
                <w:t>Circular</w:t>
              </w:r>
              <w:r>
                <w:rPr>
                  <w:color w:val="0000FF"/>
                  <w:spacing w:val="-5"/>
                  <w:sz w:val="24"/>
                  <w:u w:val="single" w:color="0000FF"/>
                </w:rPr>
                <w:t> </w:t>
              </w:r>
              <w:r>
                <w:rPr>
                  <w:color w:val="0000FF"/>
                  <w:sz w:val="24"/>
                  <w:u w:val="single" w:color="0000FF"/>
                </w:rPr>
                <w:t>A-123</w:t>
              </w:r>
              <w:r>
                <w:rPr>
                  <w:color w:val="0000FF"/>
                  <w:spacing w:val="-6"/>
                  <w:sz w:val="24"/>
                  <w:u w:val="single" w:color="0000FF"/>
                </w:rPr>
                <w:t> </w:t>
              </w:r>
              <w:r>
                <w:rPr>
                  <w:color w:val="0000FF"/>
                  <w:sz w:val="24"/>
                  <w:u w:val="single" w:color="0000FF"/>
                </w:rPr>
                <w:t>Appendix</w:t>
              </w:r>
              <w:r>
                <w:rPr>
                  <w:color w:val="0000FF"/>
                  <w:spacing w:val="-6"/>
                  <w:sz w:val="24"/>
                  <w:u w:val="single" w:color="0000FF"/>
                </w:rPr>
                <w:t> </w:t>
              </w:r>
              <w:r>
                <w:rPr>
                  <w:color w:val="0000FF"/>
                  <w:sz w:val="24"/>
                  <w:u w:val="single" w:color="0000FF"/>
                </w:rPr>
                <w:t>B</w:t>
              </w:r>
            </w:hyperlink>
            <w:r>
              <w:rPr>
                <w:sz w:val="24"/>
              </w:rPr>
              <w:t>,</w:t>
            </w:r>
            <w:r>
              <w:rPr>
                <w:spacing w:val="-5"/>
                <w:sz w:val="24"/>
              </w:rPr>
              <w:t> </w:t>
            </w:r>
            <w:r>
              <w:rPr>
                <w:sz w:val="24"/>
              </w:rPr>
              <w:t>A</w:t>
            </w:r>
            <w:r>
              <w:rPr>
                <w:spacing w:val="-6"/>
                <w:sz w:val="24"/>
              </w:rPr>
              <w:t> </w:t>
            </w:r>
            <w:r>
              <w:rPr>
                <w:sz w:val="24"/>
              </w:rPr>
              <w:t>Risk</w:t>
            </w:r>
            <w:r>
              <w:rPr>
                <w:spacing w:val="-6"/>
                <w:sz w:val="24"/>
              </w:rPr>
              <w:t> </w:t>
            </w:r>
            <w:r>
              <w:rPr>
                <w:sz w:val="24"/>
              </w:rPr>
              <w:t>Management Framework for Government Charge Card Programs.</w:t>
            </w:r>
          </w:p>
        </w:tc>
      </w:tr>
    </w:tbl>
    <w:p>
      <w:pPr>
        <w:spacing w:after="0" w:line="248" w:lineRule="exact"/>
        <w:jc w:val="left"/>
        <w:rPr>
          <w:sz w:val="24"/>
        </w:rPr>
        <w:sectPr>
          <w:type w:val="continuous"/>
          <w:pgSz w:w="20160" w:h="12240" w:orient="landscape"/>
          <w:pgMar w:header="288" w:footer="728" w:top="1380" w:bottom="1575"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284" w:hRule="atLeast"/>
        </w:trPr>
        <w:tc>
          <w:tcPr>
            <w:tcW w:w="1525" w:type="dxa"/>
            <w:vMerge w:val="restart"/>
          </w:tcPr>
          <w:p>
            <w:pPr>
              <w:pStyle w:val="TableParagraph"/>
              <w:ind w:left="0"/>
              <w:rPr>
                <w:rFonts w:ascii="Times New Roman"/>
                <w:sz w:val="22"/>
              </w:rPr>
            </w:pPr>
          </w:p>
        </w:tc>
        <w:tc>
          <w:tcPr>
            <w:tcW w:w="1761" w:type="dxa"/>
            <w:vMerge w:val="restart"/>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2.2.2.4</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96"/>
              <w:rPr>
                <w:sz w:val="24"/>
              </w:rPr>
            </w:pPr>
            <w:r>
              <w:rPr>
                <w:sz w:val="24"/>
              </w:rPr>
              <w:t>Agencies</w:t>
            </w:r>
            <w:r>
              <w:rPr>
                <w:spacing w:val="-10"/>
                <w:sz w:val="24"/>
              </w:rPr>
              <w:t> </w:t>
            </w:r>
            <w:r>
              <w:rPr>
                <w:sz w:val="24"/>
              </w:rPr>
              <w:t>for</w:t>
            </w:r>
            <w:r>
              <w:rPr>
                <w:spacing w:val="-10"/>
                <w:sz w:val="24"/>
              </w:rPr>
              <w:t> </w:t>
            </w:r>
            <w:r>
              <w:rPr>
                <w:sz w:val="24"/>
              </w:rPr>
              <w:t>which</w:t>
            </w:r>
            <w:r>
              <w:rPr>
                <w:spacing w:val="-10"/>
                <w:sz w:val="24"/>
              </w:rPr>
              <w:t> </w:t>
            </w:r>
            <w:r>
              <w:rPr>
                <w:sz w:val="24"/>
              </w:rPr>
              <w:t>Treasury</w:t>
            </w:r>
            <w:r>
              <w:rPr>
                <w:spacing w:val="-10"/>
                <w:sz w:val="24"/>
              </w:rPr>
              <w:t> </w:t>
            </w:r>
            <w:r>
              <w:rPr>
                <w:sz w:val="24"/>
              </w:rPr>
              <w:t>does not disburse (for example, the Department of Defense): Provide payment disbursement forms that include payment transactions consistent with Government Accountability</w:t>
            </w:r>
            <w:r>
              <w:rPr>
                <w:spacing w:val="-13"/>
                <w:sz w:val="24"/>
              </w:rPr>
              <w:t> </w:t>
            </w:r>
            <w:r>
              <w:rPr>
                <w:sz w:val="24"/>
              </w:rPr>
              <w:t>Office</w:t>
            </w:r>
            <w:r>
              <w:rPr>
                <w:spacing w:val="-14"/>
                <w:sz w:val="24"/>
              </w:rPr>
              <w:t> </w:t>
            </w:r>
            <w:r>
              <w:rPr>
                <w:sz w:val="24"/>
              </w:rPr>
              <w:t>(GAO)</w:t>
            </w:r>
            <w:r>
              <w:rPr>
                <w:spacing w:val="-12"/>
                <w:sz w:val="24"/>
              </w:rPr>
              <w:t> </w:t>
            </w:r>
            <w:r>
              <w:rPr>
                <w:sz w:val="24"/>
              </w:rPr>
              <w:t>policy and procedures and as specified in the TFM.</w:t>
            </w:r>
          </w:p>
        </w:tc>
        <w:tc>
          <w:tcPr>
            <w:tcW w:w="6628" w:type="dxa"/>
          </w:tcPr>
          <w:p>
            <w:pPr>
              <w:pStyle w:val="TableParagraph"/>
              <w:numPr>
                <w:ilvl w:val="0"/>
                <w:numId w:val="44"/>
              </w:numPr>
              <w:tabs>
                <w:tab w:pos="328" w:val="left" w:leader="none"/>
              </w:tabs>
              <w:spacing w:line="216" w:lineRule="auto" w:before="0" w:after="0"/>
              <w:ind w:left="327" w:right="234" w:hanging="216"/>
              <w:jc w:val="left"/>
              <w:rPr>
                <w:sz w:val="24"/>
              </w:rPr>
            </w:pPr>
            <w:r>
              <w:rPr>
                <w:sz w:val="24"/>
              </w:rPr>
              <w:t>TFM</w:t>
            </w:r>
            <w:r>
              <w:rPr>
                <w:spacing w:val="-4"/>
                <w:sz w:val="24"/>
              </w:rPr>
              <w:t> </w:t>
            </w:r>
            <w:hyperlink r:id="rId52">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7"/>
                  <w:sz w:val="24"/>
                </w:rPr>
                <w:t> </w:t>
              </w:r>
              <w:r>
                <w:rPr>
                  <w:color w:val="0000FF"/>
                  <w:sz w:val="24"/>
                </w:rPr>
                <w:t>4A,</w:t>
              </w:r>
              <w:r>
                <w:rPr>
                  <w:color w:val="0000FF"/>
                  <w:spacing w:val="-4"/>
                  <w:sz w:val="24"/>
                </w:rPr>
                <w:t> </w:t>
              </w:r>
              <w:r>
                <w:rPr>
                  <w:color w:val="0000FF"/>
                  <w:sz w:val="24"/>
                </w:rPr>
                <w:t>Chapter</w:t>
              </w:r>
              <w:r>
                <w:rPr>
                  <w:color w:val="0000FF"/>
                  <w:spacing w:val="-4"/>
                  <w:sz w:val="24"/>
                </w:rPr>
                <w:t> </w:t>
              </w:r>
              <w:r>
                <w:rPr>
                  <w:color w:val="0000FF"/>
                  <w:sz w:val="24"/>
                </w:rPr>
                <w:t>2000</w:t>
              </w:r>
            </w:hyperlink>
            <w:r>
              <w:rPr>
                <w:color w:val="0000FF"/>
                <w:spacing w:val="-5"/>
                <w:sz w:val="24"/>
              </w:rPr>
              <w:t> </w:t>
            </w:r>
            <w:r>
              <w:rPr>
                <w:sz w:val="24"/>
              </w:rPr>
              <w:t>Overall</w:t>
            </w:r>
            <w:r>
              <w:rPr>
                <w:spacing w:val="-6"/>
                <w:sz w:val="24"/>
              </w:rPr>
              <w:t> </w:t>
            </w:r>
            <w:r>
              <w:rPr>
                <w:sz w:val="24"/>
              </w:rPr>
              <w:t>Disbursing Rules for All Federal Agencies;</w:t>
            </w:r>
          </w:p>
          <w:p>
            <w:pPr>
              <w:pStyle w:val="TableParagraph"/>
              <w:numPr>
                <w:ilvl w:val="0"/>
                <w:numId w:val="44"/>
              </w:numPr>
              <w:tabs>
                <w:tab w:pos="328" w:val="left" w:leader="none"/>
              </w:tabs>
              <w:spacing w:line="216" w:lineRule="auto" w:before="0" w:after="0"/>
              <w:ind w:left="327" w:right="473" w:hanging="216"/>
              <w:jc w:val="left"/>
              <w:rPr>
                <w:sz w:val="24"/>
              </w:rPr>
            </w:pPr>
            <w:r>
              <w:rPr>
                <w:sz w:val="24"/>
              </w:rPr>
              <w:t>TFM</w:t>
            </w:r>
            <w:r>
              <w:rPr>
                <w:spacing w:val="-4"/>
                <w:sz w:val="24"/>
              </w:rPr>
              <w:t> </w:t>
            </w:r>
            <w:hyperlink r:id="rId59">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7"/>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8500</w:t>
              </w:r>
            </w:hyperlink>
            <w:r>
              <w:rPr>
                <w:color w:val="0000FF"/>
                <w:spacing w:val="-5"/>
                <w:sz w:val="24"/>
              </w:rPr>
              <w:t> </w:t>
            </w:r>
            <w:r>
              <w:rPr>
                <w:sz w:val="24"/>
              </w:rPr>
              <w:t>Cash</w:t>
            </w:r>
            <w:r>
              <w:rPr>
                <w:spacing w:val="-4"/>
                <w:sz w:val="24"/>
              </w:rPr>
              <w:t> </w:t>
            </w:r>
            <w:r>
              <w:rPr>
                <w:sz w:val="24"/>
              </w:rPr>
              <w:t>Forecasting Requirements, Section 8530 General Large Dollar Notification Reporting Requirements for Deposits and </w:t>
            </w:r>
            <w:r>
              <w:rPr>
                <w:spacing w:val="-2"/>
                <w:sz w:val="24"/>
              </w:rPr>
              <w:t>Disbursements;</w:t>
            </w:r>
          </w:p>
          <w:p>
            <w:pPr>
              <w:pStyle w:val="TableParagraph"/>
              <w:numPr>
                <w:ilvl w:val="0"/>
                <w:numId w:val="44"/>
              </w:numPr>
              <w:tabs>
                <w:tab w:pos="328" w:val="left" w:leader="none"/>
              </w:tabs>
              <w:spacing w:line="255" w:lineRule="exact" w:before="0" w:after="0"/>
              <w:ind w:left="327" w:right="0" w:hanging="217"/>
              <w:jc w:val="left"/>
              <w:rPr>
                <w:sz w:val="24"/>
              </w:rPr>
            </w:pPr>
            <w:r>
              <w:rPr>
                <w:sz w:val="24"/>
              </w:rPr>
              <w:t>GAO</w:t>
            </w:r>
            <w:r>
              <w:rPr>
                <w:spacing w:val="-5"/>
                <w:sz w:val="24"/>
              </w:rPr>
              <w:t> </w:t>
            </w:r>
            <w:r>
              <w:rPr>
                <w:sz w:val="24"/>
              </w:rPr>
              <w:t>Policy</w:t>
            </w:r>
            <w:r>
              <w:rPr>
                <w:spacing w:val="-4"/>
                <w:sz w:val="24"/>
              </w:rPr>
              <w:t> </w:t>
            </w:r>
            <w:r>
              <w:rPr>
                <w:sz w:val="24"/>
              </w:rPr>
              <w:t>and</w:t>
            </w:r>
            <w:r>
              <w:rPr>
                <w:spacing w:val="-3"/>
                <w:sz w:val="24"/>
              </w:rPr>
              <w:t> </w:t>
            </w:r>
            <w:r>
              <w:rPr>
                <w:sz w:val="24"/>
              </w:rPr>
              <w:t>Procedures</w:t>
            </w:r>
            <w:r>
              <w:rPr>
                <w:spacing w:val="-4"/>
                <w:sz w:val="24"/>
              </w:rPr>
              <w:t> </w:t>
            </w:r>
            <w:r>
              <w:rPr>
                <w:sz w:val="24"/>
              </w:rPr>
              <w:t>Manual</w:t>
            </w:r>
            <w:r>
              <w:rPr>
                <w:spacing w:val="-3"/>
                <w:sz w:val="24"/>
              </w:rPr>
              <w:t> </w:t>
            </w:r>
            <w:r>
              <w:rPr>
                <w:sz w:val="24"/>
              </w:rPr>
              <w:t>for</w:t>
            </w:r>
            <w:r>
              <w:rPr>
                <w:spacing w:val="-4"/>
                <w:sz w:val="24"/>
              </w:rPr>
              <w:t> </w:t>
            </w:r>
            <w:r>
              <w:rPr>
                <w:sz w:val="24"/>
              </w:rPr>
              <w:t>Guidance</w:t>
            </w:r>
            <w:r>
              <w:rPr>
                <w:spacing w:val="-3"/>
                <w:sz w:val="24"/>
              </w:rPr>
              <w:t> </w:t>
            </w:r>
            <w:r>
              <w:rPr>
                <w:spacing w:val="-5"/>
                <w:sz w:val="24"/>
              </w:rPr>
              <w:t>of</w:t>
            </w:r>
          </w:p>
          <w:p>
            <w:pPr>
              <w:pStyle w:val="TableParagraph"/>
              <w:spacing w:line="248" w:lineRule="exact"/>
              <w:rPr>
                <w:sz w:val="24"/>
              </w:rPr>
            </w:pPr>
            <w:r>
              <w:rPr>
                <w:sz w:val="24"/>
              </w:rPr>
              <w:t>Federal</w:t>
            </w:r>
            <w:r>
              <w:rPr>
                <w:spacing w:val="-6"/>
                <w:sz w:val="24"/>
              </w:rPr>
              <w:t> </w:t>
            </w:r>
            <w:r>
              <w:rPr>
                <w:sz w:val="24"/>
              </w:rPr>
              <w:t>Agencies,</w:t>
            </w:r>
            <w:r>
              <w:rPr>
                <w:spacing w:val="-5"/>
                <w:sz w:val="24"/>
              </w:rPr>
              <w:t> </w:t>
            </w:r>
            <w:hyperlink r:id="rId60">
              <w:r>
                <w:rPr>
                  <w:color w:val="0000FF"/>
                  <w:sz w:val="24"/>
                </w:rPr>
                <w:t>Title</w:t>
              </w:r>
              <w:r>
                <w:rPr>
                  <w:color w:val="0000FF"/>
                  <w:spacing w:val="-6"/>
                  <w:sz w:val="24"/>
                </w:rPr>
                <w:t> </w:t>
              </w:r>
              <w:r>
                <w:rPr>
                  <w:color w:val="0000FF"/>
                  <w:sz w:val="24"/>
                </w:rPr>
                <w:t>7</w:t>
              </w:r>
              <w:r>
                <w:rPr>
                  <w:color w:val="0000FF"/>
                  <w:spacing w:val="-6"/>
                  <w:sz w:val="24"/>
                </w:rPr>
                <w:t> </w:t>
              </w:r>
              <w:r>
                <w:rPr>
                  <w:color w:val="0000FF"/>
                  <w:sz w:val="24"/>
                </w:rPr>
                <w:t>–</w:t>
              </w:r>
              <w:r>
                <w:rPr>
                  <w:color w:val="0000FF"/>
                  <w:spacing w:val="-6"/>
                  <w:sz w:val="24"/>
                </w:rPr>
                <w:t> </w:t>
              </w:r>
              <w:r>
                <w:rPr>
                  <w:color w:val="0000FF"/>
                  <w:sz w:val="24"/>
                </w:rPr>
                <w:t>Fiscal</w:t>
              </w:r>
              <w:r>
                <w:rPr>
                  <w:color w:val="0000FF"/>
                  <w:spacing w:val="-5"/>
                  <w:sz w:val="24"/>
                </w:rPr>
                <w:t> </w:t>
              </w:r>
              <w:r>
                <w:rPr>
                  <w:color w:val="0000FF"/>
                  <w:sz w:val="24"/>
                </w:rPr>
                <w:t>Guidance</w:t>
              </w:r>
            </w:hyperlink>
            <w:r>
              <w:rPr>
                <w:sz w:val="24"/>
              </w:rPr>
              <w:t>,</w:t>
            </w:r>
            <w:r>
              <w:rPr>
                <w:spacing w:val="-5"/>
                <w:sz w:val="24"/>
              </w:rPr>
              <w:t> </w:t>
            </w:r>
            <w:r>
              <w:rPr>
                <w:sz w:val="24"/>
              </w:rPr>
              <w:t>Chapter</w:t>
            </w:r>
            <w:r>
              <w:rPr>
                <w:spacing w:val="-6"/>
                <w:sz w:val="24"/>
              </w:rPr>
              <w:t> </w:t>
            </w:r>
            <w:r>
              <w:rPr>
                <w:sz w:val="24"/>
              </w:rPr>
              <w:t>6, </w:t>
            </w:r>
            <w:r>
              <w:rPr>
                <w:spacing w:val="-2"/>
                <w:sz w:val="24"/>
              </w:rPr>
              <w:t>Disbursements.</w:t>
            </w:r>
          </w:p>
        </w:tc>
      </w:tr>
      <w:tr>
        <w:trPr>
          <w:trHeight w:val="1241"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2.2.2.5</w:t>
            </w:r>
          </w:p>
        </w:tc>
        <w:tc>
          <w:tcPr>
            <w:tcW w:w="1534" w:type="dxa"/>
          </w:tcPr>
          <w:p>
            <w:pPr>
              <w:pStyle w:val="TableParagraph"/>
              <w:spacing w:line="244" w:lineRule="exact"/>
              <w:ind w:left="109"/>
              <w:rPr>
                <w:sz w:val="24"/>
              </w:rPr>
            </w:pPr>
            <w:r>
              <w:rPr>
                <w:spacing w:val="-5"/>
                <w:sz w:val="24"/>
              </w:rPr>
              <w:t>DI</w:t>
            </w:r>
          </w:p>
        </w:tc>
        <w:tc>
          <w:tcPr>
            <w:tcW w:w="3834" w:type="dxa"/>
          </w:tcPr>
          <w:p>
            <w:pPr>
              <w:pStyle w:val="TableParagraph"/>
              <w:spacing w:line="216" w:lineRule="auto"/>
              <w:ind w:left="110" w:right="145"/>
              <w:rPr>
                <w:sz w:val="24"/>
              </w:rPr>
            </w:pPr>
            <w:r>
              <w:rPr>
                <w:sz w:val="24"/>
              </w:rPr>
              <w:t>Agencies for which Treasury disburses:</w:t>
            </w:r>
            <w:r>
              <w:rPr>
                <w:spacing w:val="-17"/>
                <w:sz w:val="24"/>
              </w:rPr>
              <w:t> </w:t>
            </w:r>
            <w:r>
              <w:rPr>
                <w:sz w:val="24"/>
              </w:rPr>
              <w:t>Capture</w:t>
            </w:r>
            <w:r>
              <w:rPr>
                <w:spacing w:val="-17"/>
                <w:sz w:val="24"/>
              </w:rPr>
              <w:t> </w:t>
            </w:r>
            <w:r>
              <w:rPr>
                <w:sz w:val="24"/>
              </w:rPr>
              <w:t>disbursement identifying</w:t>
            </w:r>
            <w:r>
              <w:rPr>
                <w:spacing w:val="-9"/>
                <w:sz w:val="24"/>
              </w:rPr>
              <w:t> </w:t>
            </w:r>
            <w:r>
              <w:rPr>
                <w:sz w:val="24"/>
              </w:rPr>
              <w:t>and</w:t>
            </w:r>
            <w:r>
              <w:rPr>
                <w:spacing w:val="-9"/>
                <w:sz w:val="24"/>
              </w:rPr>
              <w:t> </w:t>
            </w:r>
            <w:r>
              <w:rPr>
                <w:sz w:val="24"/>
              </w:rPr>
              <w:t>status</w:t>
            </w:r>
            <w:r>
              <w:rPr>
                <w:spacing w:val="-9"/>
                <w:sz w:val="24"/>
              </w:rPr>
              <w:t> </w:t>
            </w:r>
            <w:r>
              <w:rPr>
                <w:sz w:val="24"/>
              </w:rPr>
              <w:t>information to reconcile agency payments</w:t>
            </w:r>
          </w:p>
          <w:p>
            <w:pPr>
              <w:pStyle w:val="TableParagraph"/>
              <w:spacing w:line="238" w:lineRule="exact"/>
              <w:ind w:left="110"/>
              <w:rPr>
                <w:sz w:val="24"/>
              </w:rPr>
            </w:pPr>
            <w:r>
              <w:rPr>
                <w:sz w:val="24"/>
              </w:rPr>
              <w:t>with</w:t>
            </w:r>
            <w:r>
              <w:rPr>
                <w:spacing w:val="-4"/>
                <w:sz w:val="24"/>
              </w:rPr>
              <w:t> </w:t>
            </w:r>
            <w:r>
              <w:rPr>
                <w:sz w:val="24"/>
              </w:rPr>
              <w:t>Treasury</w:t>
            </w:r>
            <w:r>
              <w:rPr>
                <w:spacing w:val="-3"/>
                <w:sz w:val="24"/>
              </w:rPr>
              <w:t> </w:t>
            </w:r>
            <w:r>
              <w:rPr>
                <w:spacing w:val="-2"/>
                <w:sz w:val="24"/>
              </w:rPr>
              <w:t>disbursements.</w:t>
            </w:r>
          </w:p>
        </w:tc>
        <w:tc>
          <w:tcPr>
            <w:tcW w:w="6628" w:type="dxa"/>
          </w:tcPr>
          <w:p>
            <w:pPr>
              <w:pStyle w:val="TableParagraph"/>
              <w:numPr>
                <w:ilvl w:val="0"/>
                <w:numId w:val="45"/>
              </w:numPr>
              <w:tabs>
                <w:tab w:pos="328" w:val="left" w:leader="none"/>
              </w:tabs>
              <w:spacing w:line="216" w:lineRule="auto" w:before="0" w:after="0"/>
              <w:ind w:left="327" w:right="379" w:hanging="216"/>
              <w:jc w:val="left"/>
              <w:rPr>
                <w:sz w:val="24"/>
              </w:rPr>
            </w:pPr>
            <w:r>
              <w:rPr>
                <w:sz w:val="24"/>
              </w:rPr>
              <w:t>TFM</w:t>
            </w:r>
            <w:r>
              <w:rPr>
                <w:spacing w:val="-4"/>
                <w:sz w:val="24"/>
              </w:rPr>
              <w:t> </w:t>
            </w:r>
            <w:hyperlink r:id="rId61">
              <w:r>
                <w:rPr>
                  <w:color w:val="0000FF"/>
                  <w:sz w:val="24"/>
                </w:rPr>
                <w:t>Volume</w:t>
              </w:r>
              <w:r>
                <w:rPr>
                  <w:color w:val="0000FF"/>
                  <w:spacing w:val="-4"/>
                  <w:sz w:val="24"/>
                </w:rPr>
                <w:t> </w:t>
              </w:r>
              <w:r>
                <w:rPr>
                  <w:color w:val="0000FF"/>
                  <w:sz w:val="24"/>
                </w:rPr>
                <w:t>I,</w:t>
              </w:r>
              <w:r>
                <w:rPr>
                  <w:color w:val="0000FF"/>
                  <w:spacing w:val="-5"/>
                  <w:sz w:val="24"/>
                </w:rPr>
                <w:t> </w:t>
              </w:r>
              <w:r>
                <w:rPr>
                  <w:color w:val="0000FF"/>
                  <w:sz w:val="24"/>
                </w:rPr>
                <w:t>Part</w:t>
              </w:r>
              <w:r>
                <w:rPr>
                  <w:color w:val="0000FF"/>
                  <w:spacing w:val="-6"/>
                  <w:sz w:val="24"/>
                </w:rPr>
                <w:t> </w:t>
              </w:r>
              <w:r>
                <w:rPr>
                  <w:color w:val="0000FF"/>
                  <w:sz w:val="24"/>
                </w:rPr>
                <w:t>2,</w:t>
              </w:r>
              <w:r>
                <w:rPr>
                  <w:color w:val="0000FF"/>
                  <w:spacing w:val="-4"/>
                  <w:sz w:val="24"/>
                </w:rPr>
                <w:t> </w:t>
              </w:r>
              <w:r>
                <w:rPr>
                  <w:color w:val="0000FF"/>
                  <w:sz w:val="24"/>
                </w:rPr>
                <w:t>Chapter</w:t>
              </w:r>
              <w:r>
                <w:rPr>
                  <w:color w:val="0000FF"/>
                  <w:spacing w:val="-5"/>
                  <w:sz w:val="24"/>
                </w:rPr>
                <w:t> </w:t>
              </w:r>
              <w:r>
                <w:rPr>
                  <w:color w:val="0000FF"/>
                  <w:sz w:val="24"/>
                </w:rPr>
                <w:t>5100</w:t>
              </w:r>
            </w:hyperlink>
            <w:r>
              <w:rPr>
                <w:color w:val="0000FF"/>
                <w:spacing w:val="-4"/>
                <w:sz w:val="24"/>
              </w:rPr>
              <w:t> </w:t>
            </w:r>
            <w:r>
              <w:rPr>
                <w:sz w:val="24"/>
              </w:rPr>
              <w:t>Fund</w:t>
            </w:r>
            <w:r>
              <w:rPr>
                <w:spacing w:val="-4"/>
                <w:sz w:val="24"/>
              </w:rPr>
              <w:t> </w:t>
            </w:r>
            <w:r>
              <w:rPr>
                <w:sz w:val="24"/>
              </w:rPr>
              <w:t>Balance</w:t>
            </w:r>
            <w:r>
              <w:rPr>
                <w:spacing w:val="-4"/>
                <w:sz w:val="24"/>
              </w:rPr>
              <w:t> </w:t>
            </w:r>
            <w:r>
              <w:rPr>
                <w:sz w:val="24"/>
              </w:rPr>
              <w:t>with Treasury</w:t>
            </w:r>
            <w:r>
              <w:rPr>
                <w:spacing w:val="-12"/>
                <w:sz w:val="24"/>
              </w:rPr>
              <w:t> </w:t>
            </w:r>
            <w:r>
              <w:rPr>
                <w:sz w:val="24"/>
              </w:rPr>
              <w:t>Accounts.</w:t>
            </w:r>
          </w:p>
        </w:tc>
      </w:tr>
      <w:tr>
        <w:trPr>
          <w:trHeight w:val="4470"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2.2.2.6</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34"/>
              <w:rPr>
                <w:sz w:val="24"/>
              </w:rPr>
            </w:pPr>
            <w:r>
              <w:rPr>
                <w:sz w:val="24"/>
              </w:rPr>
              <w:t>Provide</w:t>
            </w:r>
            <w:r>
              <w:rPr>
                <w:spacing w:val="-2"/>
                <w:sz w:val="24"/>
              </w:rPr>
              <w:t> </w:t>
            </w:r>
            <w:r>
              <w:rPr>
                <w:sz w:val="24"/>
              </w:rPr>
              <w:t>payment</w:t>
            </w:r>
            <w:r>
              <w:rPr>
                <w:spacing w:val="-2"/>
                <w:sz w:val="24"/>
              </w:rPr>
              <w:t> </w:t>
            </w:r>
            <w:r>
              <w:rPr>
                <w:sz w:val="24"/>
              </w:rPr>
              <w:t>data</w:t>
            </w:r>
            <w:r>
              <w:rPr>
                <w:spacing w:val="-3"/>
                <w:sz w:val="24"/>
              </w:rPr>
              <w:t> </w:t>
            </w:r>
            <w:r>
              <w:rPr>
                <w:sz w:val="24"/>
              </w:rPr>
              <w:t>required</w:t>
            </w:r>
            <w:r>
              <w:rPr>
                <w:spacing w:val="-2"/>
                <w:sz w:val="24"/>
              </w:rPr>
              <w:t> </w:t>
            </w:r>
            <w:r>
              <w:rPr>
                <w:sz w:val="24"/>
              </w:rPr>
              <w:t>to post GL transactions consistent with USSGL accounts (for example, accrued interest payable- debt, disbursements in transit, delivered orders - obligations, paid), account attributes, account transaction categories (for example, disbursements and payables, collections and receivables, and accruals/non-</w:t>
            </w:r>
            <w:r>
              <w:rPr>
                <w:spacing w:val="-17"/>
                <w:sz w:val="24"/>
              </w:rPr>
              <w:t> </w:t>
            </w:r>
            <w:r>
              <w:rPr>
                <w:sz w:val="24"/>
              </w:rPr>
              <w:t>budgetary</w:t>
            </w:r>
            <w:r>
              <w:rPr>
                <w:spacing w:val="-17"/>
                <w:sz w:val="24"/>
              </w:rPr>
              <w:t> </w:t>
            </w:r>
            <w:r>
              <w:rPr>
                <w:sz w:val="24"/>
              </w:rPr>
              <w:t>transfers other than disbursements and collections), and account transaction subcategories (for example, payments/purchases,</w:t>
            </w:r>
          </w:p>
          <w:p>
            <w:pPr>
              <w:pStyle w:val="TableParagraph"/>
              <w:spacing w:line="248" w:lineRule="exact"/>
              <w:ind w:left="110" w:right="145"/>
              <w:rPr>
                <w:sz w:val="24"/>
              </w:rPr>
            </w:pPr>
            <w:r>
              <w:rPr>
                <w:sz w:val="24"/>
              </w:rPr>
              <w:t>payables/accrued</w:t>
            </w:r>
            <w:r>
              <w:rPr>
                <w:spacing w:val="-17"/>
                <w:sz w:val="24"/>
              </w:rPr>
              <w:t> </w:t>
            </w:r>
            <w:r>
              <w:rPr>
                <w:sz w:val="24"/>
              </w:rPr>
              <w:t>liabilities,</w:t>
            </w:r>
            <w:r>
              <w:rPr>
                <w:spacing w:val="-17"/>
                <w:sz w:val="24"/>
              </w:rPr>
              <w:t> </w:t>
            </w:r>
            <w:r>
              <w:rPr>
                <w:sz w:val="24"/>
              </w:rPr>
              <w:t>and receipts)</w:t>
            </w:r>
            <w:r>
              <w:rPr>
                <w:spacing w:val="-4"/>
                <w:sz w:val="24"/>
              </w:rPr>
              <w:t> </w:t>
            </w:r>
            <w:r>
              <w:rPr>
                <w:sz w:val="24"/>
              </w:rPr>
              <w:t>as</w:t>
            </w:r>
            <w:r>
              <w:rPr>
                <w:spacing w:val="-3"/>
                <w:sz w:val="24"/>
              </w:rPr>
              <w:t> </w:t>
            </w:r>
            <w:r>
              <w:rPr>
                <w:sz w:val="24"/>
              </w:rPr>
              <w:t>defined</w:t>
            </w:r>
            <w:r>
              <w:rPr>
                <w:spacing w:val="-2"/>
                <w:sz w:val="24"/>
              </w:rPr>
              <w:t> </w:t>
            </w:r>
            <w:r>
              <w:rPr>
                <w:sz w:val="24"/>
              </w:rPr>
              <w:t>in</w:t>
            </w:r>
            <w:r>
              <w:rPr>
                <w:spacing w:val="-2"/>
                <w:sz w:val="24"/>
              </w:rPr>
              <w:t> </w:t>
            </w:r>
            <w:r>
              <w:rPr>
                <w:sz w:val="24"/>
              </w:rPr>
              <w:t>the</w:t>
            </w:r>
            <w:r>
              <w:rPr>
                <w:spacing w:val="-2"/>
                <w:sz w:val="24"/>
              </w:rPr>
              <w:t> </w:t>
            </w:r>
            <w:r>
              <w:rPr>
                <w:spacing w:val="-4"/>
                <w:sz w:val="24"/>
              </w:rPr>
              <w:t>TFM.</w:t>
            </w:r>
          </w:p>
        </w:tc>
        <w:tc>
          <w:tcPr>
            <w:tcW w:w="6628" w:type="dxa"/>
          </w:tcPr>
          <w:p>
            <w:pPr>
              <w:pStyle w:val="TableParagraph"/>
              <w:numPr>
                <w:ilvl w:val="0"/>
                <w:numId w:val="46"/>
              </w:numPr>
              <w:tabs>
                <w:tab w:pos="328" w:val="left" w:leader="none"/>
              </w:tabs>
              <w:spacing w:line="247"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3"/>
                <w:sz w:val="24"/>
              </w:rPr>
              <w:t> </w:t>
            </w:r>
            <w:r>
              <w:rPr>
                <w:sz w:val="24"/>
              </w:rPr>
              <w:t>III:</w:t>
            </w:r>
            <w:r>
              <w:rPr>
                <w:spacing w:val="-3"/>
                <w:sz w:val="24"/>
              </w:rPr>
              <w:t> </w:t>
            </w:r>
            <w:r>
              <w:rPr>
                <w:sz w:val="24"/>
              </w:rPr>
              <w:t>Account</w:t>
            </w:r>
            <w:r>
              <w:rPr>
                <w:spacing w:val="-3"/>
                <w:sz w:val="24"/>
              </w:rPr>
              <w:t> </w:t>
            </w:r>
            <w:r>
              <w:rPr>
                <w:spacing w:val="-2"/>
                <w:sz w:val="24"/>
              </w:rPr>
              <w:t>Transactions;</w:t>
            </w:r>
          </w:p>
          <w:p>
            <w:pPr>
              <w:pStyle w:val="TableParagraph"/>
              <w:numPr>
                <w:ilvl w:val="0"/>
                <w:numId w:val="46"/>
              </w:numPr>
              <w:tabs>
                <w:tab w:pos="328" w:val="left" w:leader="none"/>
              </w:tabs>
              <w:spacing w:line="213" w:lineRule="auto" w:before="12" w:after="0"/>
              <w:ind w:left="327" w:right="459" w:hanging="216"/>
              <w:jc w:val="left"/>
              <w:rPr>
                <w:sz w:val="24"/>
              </w:rPr>
            </w:pPr>
            <w:hyperlink r:id="rId14">
              <w:r>
                <w:rPr>
                  <w:color w:val="0000FF"/>
                  <w:sz w:val="24"/>
                </w:rPr>
                <w:t>USSGL</w:t>
              </w:r>
            </w:hyperlink>
            <w:r>
              <w:rPr>
                <w:sz w:val="24"/>
              </w:rPr>
              <w:t>, Section IV: Account Attributes for USSGL Proprietary</w:t>
            </w:r>
            <w:r>
              <w:rPr>
                <w:spacing w:val="-11"/>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7"/>
                <w:sz w:val="24"/>
              </w:rPr>
              <w:t> </w:t>
            </w:r>
            <w:r>
              <w:rPr>
                <w:sz w:val="24"/>
              </w:rPr>
              <w:t>Reporting;</w:t>
            </w:r>
          </w:p>
          <w:p>
            <w:pPr>
              <w:pStyle w:val="TableParagraph"/>
              <w:numPr>
                <w:ilvl w:val="0"/>
                <w:numId w:val="46"/>
              </w:numPr>
              <w:tabs>
                <w:tab w:pos="328" w:val="left" w:leader="none"/>
              </w:tabs>
              <w:spacing w:line="216" w:lineRule="auto" w:before="3"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bl>
    <w:p>
      <w:pPr>
        <w:spacing w:after="0" w:line="216" w:lineRule="auto"/>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993" w:hRule="atLeast"/>
        </w:trPr>
        <w:tc>
          <w:tcPr>
            <w:tcW w:w="1525" w:type="dxa"/>
            <w:vMerge w:val="restart"/>
          </w:tcPr>
          <w:p>
            <w:pPr>
              <w:pStyle w:val="TableParagraph"/>
              <w:spacing w:line="244" w:lineRule="exact"/>
              <w:ind w:left="107"/>
              <w:rPr>
                <w:sz w:val="24"/>
              </w:rPr>
            </w:pPr>
            <w:r>
              <w:rPr>
                <w:spacing w:val="-4"/>
                <w:sz w:val="24"/>
              </w:rPr>
              <w:t>2.2.3</w:t>
            </w:r>
          </w:p>
        </w:tc>
        <w:tc>
          <w:tcPr>
            <w:tcW w:w="1761" w:type="dxa"/>
            <w:vMerge w:val="restart"/>
          </w:tcPr>
          <w:p>
            <w:pPr>
              <w:pStyle w:val="TableParagraph"/>
              <w:spacing w:line="216" w:lineRule="auto"/>
              <w:ind w:left="108" w:right="265"/>
              <w:rPr>
                <w:sz w:val="24"/>
              </w:rPr>
            </w:pPr>
            <w:r>
              <w:rPr>
                <w:sz w:val="24"/>
              </w:rPr>
              <w:t>Reporting</w:t>
            </w:r>
            <w:r>
              <w:rPr>
                <w:spacing w:val="-17"/>
                <w:sz w:val="24"/>
              </w:rPr>
              <w:t> </w:t>
            </w:r>
            <w:r>
              <w:rPr>
                <w:sz w:val="24"/>
              </w:rPr>
              <w:t>on </w:t>
            </w:r>
            <w:r>
              <w:rPr>
                <w:spacing w:val="-2"/>
                <w:sz w:val="24"/>
              </w:rPr>
              <w:t>Payments</w:t>
            </w:r>
          </w:p>
        </w:tc>
        <w:tc>
          <w:tcPr>
            <w:tcW w:w="1984" w:type="dxa"/>
          </w:tcPr>
          <w:p>
            <w:pPr>
              <w:pStyle w:val="TableParagraph"/>
              <w:spacing w:line="244" w:lineRule="exact"/>
              <w:ind w:left="107"/>
              <w:rPr>
                <w:sz w:val="24"/>
              </w:rPr>
            </w:pPr>
            <w:r>
              <w:rPr>
                <w:spacing w:val="-2"/>
                <w:sz w:val="24"/>
              </w:rPr>
              <w:t>2.2.3.1</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96"/>
              <w:rPr>
                <w:sz w:val="24"/>
              </w:rPr>
            </w:pPr>
            <w:r>
              <w:rPr>
                <w:sz w:val="24"/>
              </w:rPr>
              <w:t>Agencies</w:t>
            </w:r>
            <w:r>
              <w:rPr>
                <w:spacing w:val="-10"/>
                <w:sz w:val="24"/>
              </w:rPr>
              <w:t> </w:t>
            </w:r>
            <w:r>
              <w:rPr>
                <w:sz w:val="24"/>
              </w:rPr>
              <w:t>for</w:t>
            </w:r>
            <w:r>
              <w:rPr>
                <w:spacing w:val="-10"/>
                <w:sz w:val="24"/>
              </w:rPr>
              <w:t> </w:t>
            </w:r>
            <w:r>
              <w:rPr>
                <w:sz w:val="24"/>
              </w:rPr>
              <w:t>which</w:t>
            </w:r>
            <w:r>
              <w:rPr>
                <w:spacing w:val="-10"/>
                <w:sz w:val="24"/>
              </w:rPr>
              <w:t> </w:t>
            </w:r>
            <w:r>
              <w:rPr>
                <w:sz w:val="24"/>
              </w:rPr>
              <w:t>Treasury</w:t>
            </w:r>
            <w:r>
              <w:rPr>
                <w:spacing w:val="-10"/>
                <w:sz w:val="24"/>
              </w:rPr>
              <w:t> </w:t>
            </w:r>
            <w:r>
              <w:rPr>
                <w:sz w:val="24"/>
              </w:rPr>
              <w:t>does not disburse: Provide disbursement</w:t>
            </w:r>
            <w:r>
              <w:rPr>
                <w:spacing w:val="-8"/>
                <w:sz w:val="24"/>
              </w:rPr>
              <w:t> </w:t>
            </w:r>
            <w:r>
              <w:rPr>
                <w:sz w:val="24"/>
              </w:rPr>
              <w:t>summary</w:t>
            </w:r>
            <w:r>
              <w:rPr>
                <w:spacing w:val="-8"/>
                <w:sz w:val="24"/>
              </w:rPr>
              <w:t> </w:t>
            </w:r>
            <w:r>
              <w:rPr>
                <w:sz w:val="24"/>
              </w:rPr>
              <w:t>and</w:t>
            </w:r>
            <w:r>
              <w:rPr>
                <w:spacing w:val="-8"/>
                <w:sz w:val="24"/>
              </w:rPr>
              <w:t> </w:t>
            </w:r>
            <w:r>
              <w:rPr>
                <w:sz w:val="24"/>
              </w:rPr>
              <w:t>detail</w:t>
            </w:r>
          </w:p>
          <w:p>
            <w:pPr>
              <w:pStyle w:val="TableParagraph"/>
              <w:spacing w:line="238" w:lineRule="exact"/>
              <w:ind w:left="110"/>
              <w:rPr>
                <w:sz w:val="24"/>
              </w:rPr>
            </w:pPr>
            <w:r>
              <w:rPr>
                <w:sz w:val="24"/>
              </w:rPr>
              <w:t>data</w:t>
            </w:r>
            <w:r>
              <w:rPr>
                <w:spacing w:val="-4"/>
                <w:sz w:val="24"/>
              </w:rPr>
              <w:t> </w:t>
            </w:r>
            <w:r>
              <w:rPr>
                <w:sz w:val="24"/>
              </w:rPr>
              <w:t>as</w:t>
            </w:r>
            <w:r>
              <w:rPr>
                <w:spacing w:val="-2"/>
                <w:sz w:val="24"/>
              </w:rPr>
              <w:t> </w:t>
            </w:r>
            <w:r>
              <w:rPr>
                <w:sz w:val="24"/>
              </w:rPr>
              <w:t>specified</w:t>
            </w:r>
            <w:r>
              <w:rPr>
                <w:spacing w:val="-2"/>
                <w:sz w:val="24"/>
              </w:rPr>
              <w:t> </w:t>
            </w:r>
            <w:r>
              <w:rPr>
                <w:sz w:val="24"/>
              </w:rPr>
              <w:t>in</w:t>
            </w:r>
            <w:r>
              <w:rPr>
                <w:spacing w:val="-2"/>
                <w:sz w:val="24"/>
              </w:rPr>
              <w:t> </w:t>
            </w:r>
            <w:r>
              <w:rPr>
                <w:sz w:val="24"/>
              </w:rPr>
              <w:t>the</w:t>
            </w:r>
            <w:r>
              <w:rPr>
                <w:spacing w:val="-2"/>
                <w:sz w:val="24"/>
              </w:rPr>
              <w:t> </w:t>
            </w:r>
            <w:r>
              <w:rPr>
                <w:spacing w:val="-4"/>
                <w:sz w:val="24"/>
              </w:rPr>
              <w:t>TFM.</w:t>
            </w:r>
          </w:p>
        </w:tc>
        <w:tc>
          <w:tcPr>
            <w:tcW w:w="6628" w:type="dxa"/>
          </w:tcPr>
          <w:p>
            <w:pPr>
              <w:pStyle w:val="TableParagraph"/>
              <w:numPr>
                <w:ilvl w:val="0"/>
                <w:numId w:val="47"/>
              </w:numPr>
              <w:tabs>
                <w:tab w:pos="328" w:val="left" w:leader="none"/>
              </w:tabs>
              <w:spacing w:line="216" w:lineRule="auto" w:before="0" w:after="0"/>
              <w:ind w:left="327" w:right="353" w:hanging="216"/>
              <w:jc w:val="left"/>
              <w:rPr>
                <w:sz w:val="24"/>
              </w:rPr>
            </w:pPr>
            <w:r>
              <w:rPr>
                <w:sz w:val="24"/>
              </w:rPr>
              <w:t>TFM</w:t>
            </w:r>
            <w:r>
              <w:rPr>
                <w:spacing w:val="-4"/>
                <w:sz w:val="24"/>
              </w:rPr>
              <w:t> </w:t>
            </w:r>
            <w:hyperlink r:id="rId62">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7"/>
                  <w:sz w:val="24"/>
                </w:rPr>
                <w:t> </w:t>
              </w:r>
              <w:r>
                <w:rPr>
                  <w:color w:val="0000FF"/>
                  <w:sz w:val="24"/>
                </w:rPr>
                <w:t>4A,</w:t>
              </w:r>
              <w:r>
                <w:rPr>
                  <w:color w:val="0000FF"/>
                  <w:spacing w:val="-4"/>
                  <w:sz w:val="24"/>
                </w:rPr>
                <w:t> </w:t>
              </w:r>
              <w:r>
                <w:rPr>
                  <w:color w:val="0000FF"/>
                  <w:sz w:val="24"/>
                </w:rPr>
                <w:t>Chapter</w:t>
              </w:r>
              <w:r>
                <w:rPr>
                  <w:color w:val="0000FF"/>
                  <w:spacing w:val="-4"/>
                  <w:sz w:val="24"/>
                </w:rPr>
                <w:t> </w:t>
              </w:r>
              <w:r>
                <w:rPr>
                  <w:color w:val="0000FF"/>
                  <w:sz w:val="24"/>
                </w:rPr>
                <w:t>4000</w:t>
              </w:r>
            </w:hyperlink>
            <w:r>
              <w:rPr>
                <w:color w:val="0000FF"/>
                <w:spacing w:val="-5"/>
                <w:sz w:val="24"/>
              </w:rPr>
              <w:t> </w:t>
            </w:r>
            <w:r>
              <w:rPr>
                <w:sz w:val="24"/>
              </w:rPr>
              <w:t>Requirements</w:t>
            </w:r>
            <w:r>
              <w:rPr>
                <w:spacing w:val="-5"/>
                <w:sz w:val="24"/>
              </w:rPr>
              <w:t> </w:t>
            </w:r>
            <w:r>
              <w:rPr>
                <w:sz w:val="24"/>
              </w:rPr>
              <w:t>for Non-Treasury Disbursing Officers (NTDOs)</w:t>
            </w:r>
          </w:p>
        </w:tc>
      </w:tr>
      <w:tr>
        <w:trPr>
          <w:trHeight w:val="1771"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5" w:lineRule="exact"/>
              <w:ind w:left="107"/>
              <w:rPr>
                <w:sz w:val="24"/>
              </w:rPr>
            </w:pPr>
            <w:r>
              <w:rPr>
                <w:spacing w:val="-2"/>
                <w:sz w:val="24"/>
              </w:rPr>
              <w:t>2.2.3.2</w:t>
            </w:r>
          </w:p>
        </w:tc>
        <w:tc>
          <w:tcPr>
            <w:tcW w:w="1534" w:type="dxa"/>
          </w:tcPr>
          <w:p>
            <w:pPr>
              <w:pStyle w:val="TableParagraph"/>
              <w:spacing w:line="245" w:lineRule="exact"/>
              <w:ind w:left="109"/>
              <w:rPr>
                <w:sz w:val="24"/>
              </w:rPr>
            </w:pPr>
            <w:r>
              <w:rPr>
                <w:spacing w:val="-5"/>
                <w:sz w:val="24"/>
              </w:rPr>
              <w:t>DO</w:t>
            </w:r>
          </w:p>
        </w:tc>
        <w:tc>
          <w:tcPr>
            <w:tcW w:w="3834" w:type="dxa"/>
          </w:tcPr>
          <w:p>
            <w:pPr>
              <w:pStyle w:val="TableParagraph"/>
              <w:spacing w:line="216" w:lineRule="auto"/>
              <w:ind w:left="110" w:right="145"/>
              <w:rPr>
                <w:sz w:val="24"/>
              </w:rPr>
            </w:pPr>
            <w:r>
              <w:rPr>
                <w:sz w:val="24"/>
              </w:rPr>
              <w:t>Agencies for which Treasury disburses: Provide payment transaction information at the required account classification level</w:t>
            </w:r>
            <w:r>
              <w:rPr>
                <w:spacing w:val="-14"/>
                <w:sz w:val="24"/>
              </w:rPr>
              <w:t> </w:t>
            </w:r>
            <w:r>
              <w:rPr>
                <w:sz w:val="24"/>
              </w:rPr>
              <w:t>(for</w:t>
            </w:r>
            <w:r>
              <w:rPr>
                <w:spacing w:val="-14"/>
                <w:sz w:val="24"/>
              </w:rPr>
              <w:t> </w:t>
            </w:r>
            <w:r>
              <w:rPr>
                <w:sz w:val="24"/>
              </w:rPr>
              <w:t>example,</w:t>
            </w:r>
            <w:r>
              <w:rPr>
                <w:spacing w:val="-14"/>
                <w:sz w:val="24"/>
              </w:rPr>
              <w:t> </w:t>
            </w:r>
            <w:r>
              <w:rPr>
                <w:sz w:val="24"/>
              </w:rPr>
              <w:t>appropriation, fund, and receipt) and subclass code as specified in the TFM.</w:t>
            </w:r>
          </w:p>
        </w:tc>
        <w:tc>
          <w:tcPr>
            <w:tcW w:w="6628" w:type="dxa"/>
          </w:tcPr>
          <w:p>
            <w:pPr>
              <w:pStyle w:val="TableParagraph"/>
              <w:numPr>
                <w:ilvl w:val="0"/>
                <w:numId w:val="48"/>
              </w:numPr>
              <w:tabs>
                <w:tab w:pos="328" w:val="left" w:leader="none"/>
              </w:tabs>
              <w:spacing w:line="216" w:lineRule="auto" w:before="0" w:after="0"/>
              <w:ind w:left="327" w:right="325" w:hanging="216"/>
              <w:jc w:val="left"/>
              <w:rPr>
                <w:sz w:val="24"/>
              </w:rPr>
            </w:pPr>
            <w:r>
              <w:rPr>
                <w:sz w:val="24"/>
              </w:rPr>
              <w:t>TFM </w:t>
            </w:r>
            <w:hyperlink r:id="rId63">
              <w:r>
                <w:rPr>
                  <w:color w:val="0000FF"/>
                  <w:sz w:val="24"/>
                </w:rPr>
                <w:t>Volume I, Part 2, Chapter 3300</w:t>
              </w:r>
            </w:hyperlink>
            <w:r>
              <w:rPr>
                <w:color w:val="0000FF"/>
                <w:sz w:val="24"/>
              </w:rPr>
              <w:t> </w:t>
            </w:r>
            <w:r>
              <w:rPr>
                <w:sz w:val="24"/>
              </w:rPr>
              <w:t>Statement of Transactions</w:t>
            </w:r>
            <w:r>
              <w:rPr>
                <w:spacing w:val="-6"/>
                <w:sz w:val="24"/>
              </w:rPr>
              <w:t> </w:t>
            </w:r>
            <w:r>
              <w:rPr>
                <w:sz w:val="24"/>
              </w:rPr>
              <w:t>(224)</w:t>
            </w:r>
            <w:r>
              <w:rPr>
                <w:spacing w:val="-6"/>
                <w:sz w:val="24"/>
              </w:rPr>
              <w:t> </w:t>
            </w:r>
            <w:r>
              <w:rPr>
                <w:sz w:val="24"/>
              </w:rPr>
              <w:t>Reporting</w:t>
            </w:r>
            <w:r>
              <w:rPr>
                <w:spacing w:val="-6"/>
                <w:sz w:val="24"/>
              </w:rPr>
              <w:t> </w:t>
            </w:r>
            <w:r>
              <w:rPr>
                <w:sz w:val="24"/>
              </w:rPr>
              <w:t>by</w:t>
            </w:r>
            <w:r>
              <w:rPr>
                <w:spacing w:val="-5"/>
                <w:sz w:val="24"/>
              </w:rPr>
              <w:t> </w:t>
            </w:r>
            <w:r>
              <w:rPr>
                <w:sz w:val="24"/>
              </w:rPr>
              <w:t>Agencies</w:t>
            </w:r>
            <w:r>
              <w:rPr>
                <w:spacing w:val="-6"/>
                <w:sz w:val="24"/>
              </w:rPr>
              <w:t> </w:t>
            </w:r>
            <w:r>
              <w:rPr>
                <w:sz w:val="24"/>
              </w:rPr>
              <w:t>for</w:t>
            </w:r>
            <w:r>
              <w:rPr>
                <w:spacing w:val="-6"/>
                <w:sz w:val="24"/>
              </w:rPr>
              <w:t> </w:t>
            </w:r>
            <w:r>
              <w:rPr>
                <w:sz w:val="24"/>
              </w:rPr>
              <w:t>Which</w:t>
            </w:r>
            <w:r>
              <w:rPr>
                <w:spacing w:val="-6"/>
                <w:sz w:val="24"/>
              </w:rPr>
              <w:t> </w:t>
            </w:r>
            <w:r>
              <w:rPr>
                <w:sz w:val="24"/>
              </w:rPr>
              <w:t>the Treasury</w:t>
            </w:r>
            <w:r>
              <w:rPr>
                <w:spacing w:val="-26"/>
                <w:sz w:val="24"/>
              </w:rPr>
              <w:t> </w:t>
            </w:r>
            <w:r>
              <w:rPr>
                <w:sz w:val="24"/>
              </w:rPr>
              <w:t>Disburses;</w:t>
            </w:r>
          </w:p>
          <w:p>
            <w:pPr>
              <w:pStyle w:val="TableParagraph"/>
              <w:numPr>
                <w:ilvl w:val="0"/>
                <w:numId w:val="48"/>
              </w:numPr>
              <w:tabs>
                <w:tab w:pos="328" w:val="left" w:leader="none"/>
              </w:tabs>
              <w:spacing w:line="216" w:lineRule="auto" w:before="0" w:after="0"/>
              <w:ind w:left="327" w:right="473" w:hanging="216"/>
              <w:jc w:val="left"/>
              <w:rPr>
                <w:sz w:val="24"/>
              </w:rPr>
            </w:pPr>
            <w:r>
              <w:rPr>
                <w:sz w:val="24"/>
              </w:rPr>
              <w:t>TFM</w:t>
            </w:r>
            <w:r>
              <w:rPr>
                <w:spacing w:val="-4"/>
                <w:sz w:val="24"/>
              </w:rPr>
              <w:t> </w:t>
            </w:r>
            <w:hyperlink r:id="rId59">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7"/>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8500</w:t>
              </w:r>
            </w:hyperlink>
            <w:r>
              <w:rPr>
                <w:color w:val="0000FF"/>
                <w:spacing w:val="-5"/>
                <w:sz w:val="24"/>
              </w:rPr>
              <w:t> </w:t>
            </w:r>
            <w:r>
              <w:rPr>
                <w:sz w:val="24"/>
              </w:rPr>
              <w:t>Cash</w:t>
            </w:r>
            <w:r>
              <w:rPr>
                <w:spacing w:val="-4"/>
                <w:sz w:val="24"/>
              </w:rPr>
              <w:t> </w:t>
            </w:r>
            <w:r>
              <w:rPr>
                <w:sz w:val="24"/>
              </w:rPr>
              <w:t>Forecasting Requirements, Section 8530 – General Large Dollar</w:t>
            </w:r>
          </w:p>
          <w:p>
            <w:pPr>
              <w:pStyle w:val="TableParagraph"/>
              <w:spacing w:line="248" w:lineRule="exact"/>
              <w:rPr>
                <w:sz w:val="24"/>
              </w:rPr>
            </w:pPr>
            <w:r>
              <w:rPr>
                <w:sz w:val="24"/>
              </w:rPr>
              <w:t>Notification</w:t>
            </w:r>
            <w:r>
              <w:rPr>
                <w:spacing w:val="-8"/>
                <w:sz w:val="24"/>
              </w:rPr>
              <w:t> </w:t>
            </w:r>
            <w:r>
              <w:rPr>
                <w:sz w:val="24"/>
              </w:rPr>
              <w:t>Reporting</w:t>
            </w:r>
            <w:r>
              <w:rPr>
                <w:spacing w:val="-8"/>
                <w:sz w:val="24"/>
              </w:rPr>
              <w:t> </w:t>
            </w:r>
            <w:r>
              <w:rPr>
                <w:sz w:val="24"/>
              </w:rPr>
              <w:t>Requirements</w:t>
            </w:r>
            <w:r>
              <w:rPr>
                <w:spacing w:val="-8"/>
                <w:sz w:val="24"/>
              </w:rPr>
              <w:t> </w:t>
            </w:r>
            <w:r>
              <w:rPr>
                <w:sz w:val="24"/>
              </w:rPr>
              <w:t>for</w:t>
            </w:r>
            <w:r>
              <w:rPr>
                <w:spacing w:val="-9"/>
                <w:sz w:val="24"/>
              </w:rPr>
              <w:t> </w:t>
            </w:r>
            <w:r>
              <w:rPr>
                <w:sz w:val="24"/>
              </w:rPr>
              <w:t>Deposits</w:t>
            </w:r>
            <w:r>
              <w:rPr>
                <w:spacing w:val="-8"/>
                <w:sz w:val="24"/>
              </w:rPr>
              <w:t> </w:t>
            </w:r>
            <w:r>
              <w:rPr>
                <w:sz w:val="24"/>
              </w:rPr>
              <w:t>and </w:t>
            </w:r>
            <w:r>
              <w:rPr>
                <w:spacing w:val="-2"/>
                <w:sz w:val="24"/>
              </w:rPr>
              <w:t>Disbursements.</w:t>
            </w:r>
          </w:p>
        </w:tc>
      </w:tr>
      <w:tr>
        <w:trPr>
          <w:trHeight w:val="1008"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2.2.3.3</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45"/>
              <w:rPr>
                <w:sz w:val="24"/>
              </w:rPr>
            </w:pPr>
            <w:r>
              <w:rPr>
                <w:sz w:val="24"/>
              </w:rPr>
              <w:t>Provide improper payment information as specified in OMB Circular</w:t>
            </w:r>
            <w:r>
              <w:rPr>
                <w:spacing w:val="-7"/>
                <w:sz w:val="24"/>
              </w:rPr>
              <w:t> </w:t>
            </w:r>
            <w:r>
              <w:rPr>
                <w:sz w:val="24"/>
              </w:rPr>
              <w:t>No.</w:t>
            </w:r>
            <w:r>
              <w:rPr>
                <w:spacing w:val="-7"/>
                <w:sz w:val="24"/>
              </w:rPr>
              <w:t> </w:t>
            </w:r>
            <w:r>
              <w:rPr>
                <w:sz w:val="24"/>
              </w:rPr>
              <w:t>A-123</w:t>
            </w:r>
            <w:r>
              <w:rPr>
                <w:spacing w:val="-8"/>
                <w:sz w:val="24"/>
              </w:rPr>
              <w:t> </w:t>
            </w:r>
            <w:r>
              <w:rPr>
                <w:sz w:val="24"/>
              </w:rPr>
              <w:t>and</w:t>
            </w:r>
            <w:r>
              <w:rPr>
                <w:spacing w:val="-8"/>
                <w:sz w:val="24"/>
              </w:rPr>
              <w:t> </w:t>
            </w:r>
            <w:r>
              <w:rPr>
                <w:sz w:val="24"/>
              </w:rPr>
              <w:t>the</w:t>
            </w:r>
            <w:r>
              <w:rPr>
                <w:spacing w:val="-8"/>
                <w:sz w:val="24"/>
              </w:rPr>
              <w:t> </w:t>
            </w:r>
            <w:r>
              <w:rPr>
                <w:sz w:val="24"/>
              </w:rPr>
              <w:t>TFM.</w:t>
            </w:r>
          </w:p>
        </w:tc>
        <w:tc>
          <w:tcPr>
            <w:tcW w:w="6628" w:type="dxa"/>
          </w:tcPr>
          <w:p>
            <w:pPr>
              <w:pStyle w:val="TableParagraph"/>
              <w:numPr>
                <w:ilvl w:val="0"/>
                <w:numId w:val="49"/>
              </w:numPr>
              <w:tabs>
                <w:tab w:pos="328" w:val="left" w:leader="none"/>
              </w:tabs>
              <w:spacing w:line="248" w:lineRule="exact" w:before="0" w:after="0"/>
              <w:ind w:left="327" w:right="155" w:hanging="216"/>
              <w:jc w:val="left"/>
              <w:rPr>
                <w:sz w:val="24"/>
              </w:rPr>
            </w:pPr>
            <w:hyperlink r:id="rId41">
              <w:r>
                <w:rPr>
                  <w:color w:val="0000FF"/>
                  <w:sz w:val="24"/>
                </w:rPr>
                <w:t>OMB</w:t>
              </w:r>
            </w:hyperlink>
            <w:r>
              <w:rPr>
                <w:color w:val="0000FF"/>
                <w:spacing w:val="-7"/>
                <w:sz w:val="24"/>
              </w:rPr>
              <w:t> </w:t>
            </w:r>
            <w:r>
              <w:rPr>
                <w:sz w:val="24"/>
              </w:rPr>
              <w:t>Circular</w:t>
            </w:r>
            <w:r>
              <w:rPr>
                <w:spacing w:val="-7"/>
                <w:sz w:val="24"/>
              </w:rPr>
              <w:t> </w:t>
            </w:r>
            <w:r>
              <w:rPr>
                <w:sz w:val="24"/>
              </w:rPr>
              <w:t>No.</w:t>
            </w:r>
            <w:r>
              <w:rPr>
                <w:spacing w:val="-7"/>
                <w:sz w:val="24"/>
              </w:rPr>
              <w:t> </w:t>
            </w:r>
            <w:r>
              <w:rPr>
                <w:sz w:val="24"/>
              </w:rPr>
              <w:t>A-123,</w:t>
            </w:r>
            <w:r>
              <w:rPr>
                <w:spacing w:val="-7"/>
                <w:sz w:val="24"/>
              </w:rPr>
              <w:t> </w:t>
            </w:r>
            <w:r>
              <w:rPr>
                <w:sz w:val="24"/>
              </w:rPr>
              <w:t>Managements</w:t>
            </w:r>
            <w:r>
              <w:rPr>
                <w:spacing w:val="-7"/>
                <w:sz w:val="24"/>
              </w:rPr>
              <w:t> </w:t>
            </w:r>
            <w:r>
              <w:rPr>
                <w:sz w:val="24"/>
              </w:rPr>
              <w:t>Responsibility</w:t>
            </w:r>
            <w:r>
              <w:rPr>
                <w:spacing w:val="-7"/>
                <w:sz w:val="24"/>
              </w:rPr>
              <w:t> </w:t>
            </w:r>
            <w:r>
              <w:rPr>
                <w:sz w:val="24"/>
              </w:rPr>
              <w:t>for Enterprise Risk Management and Internal Control, Appendix C, Requirements for Payment Integrity </w:t>
            </w:r>
            <w:r>
              <w:rPr>
                <w:spacing w:val="-2"/>
                <w:sz w:val="24"/>
              </w:rPr>
              <w:t>Improvement.</w:t>
            </w:r>
          </w:p>
        </w:tc>
      </w:tr>
      <w:tr>
        <w:trPr>
          <w:trHeight w:val="4336" w:hRule="atLeast"/>
        </w:trPr>
        <w:tc>
          <w:tcPr>
            <w:tcW w:w="1525" w:type="dxa"/>
          </w:tcPr>
          <w:p>
            <w:pPr>
              <w:pStyle w:val="TableParagraph"/>
              <w:spacing w:line="245" w:lineRule="exact"/>
              <w:ind w:left="107"/>
              <w:rPr>
                <w:sz w:val="24"/>
              </w:rPr>
            </w:pPr>
            <w:r>
              <w:rPr>
                <w:spacing w:val="-4"/>
                <w:sz w:val="24"/>
              </w:rPr>
              <w:t>2.2.4</w:t>
            </w:r>
          </w:p>
        </w:tc>
        <w:tc>
          <w:tcPr>
            <w:tcW w:w="1761" w:type="dxa"/>
          </w:tcPr>
          <w:p>
            <w:pPr>
              <w:pStyle w:val="TableParagraph"/>
              <w:spacing w:line="216" w:lineRule="auto"/>
              <w:ind w:left="108" w:right="185"/>
              <w:rPr>
                <w:sz w:val="24"/>
              </w:rPr>
            </w:pPr>
            <w:r>
              <w:rPr>
                <w:spacing w:val="-2"/>
                <w:sz w:val="24"/>
              </w:rPr>
              <w:t>Establishing Receivables</w:t>
            </w:r>
          </w:p>
        </w:tc>
        <w:tc>
          <w:tcPr>
            <w:tcW w:w="1984" w:type="dxa"/>
          </w:tcPr>
          <w:p>
            <w:pPr>
              <w:pStyle w:val="TableParagraph"/>
              <w:spacing w:line="245" w:lineRule="exact"/>
              <w:ind w:left="107"/>
              <w:rPr>
                <w:sz w:val="24"/>
              </w:rPr>
            </w:pPr>
            <w:r>
              <w:rPr>
                <w:spacing w:val="-2"/>
                <w:sz w:val="24"/>
              </w:rPr>
              <w:t>2.2.4.1</w:t>
            </w:r>
          </w:p>
        </w:tc>
        <w:tc>
          <w:tcPr>
            <w:tcW w:w="1534" w:type="dxa"/>
          </w:tcPr>
          <w:p>
            <w:pPr>
              <w:pStyle w:val="TableParagraph"/>
              <w:spacing w:line="245" w:lineRule="exact"/>
              <w:ind w:left="109"/>
              <w:rPr>
                <w:sz w:val="24"/>
              </w:rPr>
            </w:pPr>
            <w:r>
              <w:rPr>
                <w:spacing w:val="-5"/>
                <w:sz w:val="24"/>
              </w:rPr>
              <w:t>DI</w:t>
            </w:r>
          </w:p>
        </w:tc>
        <w:tc>
          <w:tcPr>
            <w:tcW w:w="3834" w:type="dxa"/>
          </w:tcPr>
          <w:p>
            <w:pPr>
              <w:pStyle w:val="TableParagraph"/>
              <w:spacing w:line="216" w:lineRule="auto"/>
              <w:ind w:left="110" w:right="145"/>
              <w:rPr>
                <w:sz w:val="24"/>
              </w:rPr>
            </w:pPr>
            <w:r>
              <w:rPr>
                <w:sz w:val="24"/>
              </w:rPr>
              <w:t>Capture federal government receivable information (for example, receivable type and customer information) to support agency management of and reporting on receivables to Treasury</w:t>
            </w:r>
            <w:r>
              <w:rPr>
                <w:spacing w:val="-10"/>
                <w:sz w:val="24"/>
              </w:rPr>
              <w:t> </w:t>
            </w:r>
            <w:r>
              <w:rPr>
                <w:sz w:val="24"/>
              </w:rPr>
              <w:t>consistent</w:t>
            </w:r>
            <w:r>
              <w:rPr>
                <w:spacing w:val="-10"/>
                <w:sz w:val="24"/>
              </w:rPr>
              <w:t> </w:t>
            </w:r>
            <w:r>
              <w:rPr>
                <w:sz w:val="24"/>
              </w:rPr>
              <w:t>with</w:t>
            </w:r>
            <w:r>
              <w:rPr>
                <w:spacing w:val="-10"/>
                <w:sz w:val="24"/>
              </w:rPr>
              <w:t> </w:t>
            </w:r>
            <w:r>
              <w:rPr>
                <w:sz w:val="24"/>
              </w:rPr>
              <w:t>the</w:t>
            </w:r>
            <w:r>
              <w:rPr>
                <w:spacing w:val="-10"/>
                <w:sz w:val="24"/>
              </w:rPr>
              <w:t> </w:t>
            </w:r>
            <w:r>
              <w:rPr>
                <w:sz w:val="24"/>
              </w:rPr>
              <w:t>TFM and as required by OMB Circular No. A-129 and the CFR.</w:t>
            </w:r>
          </w:p>
        </w:tc>
        <w:tc>
          <w:tcPr>
            <w:tcW w:w="6628" w:type="dxa"/>
          </w:tcPr>
          <w:p>
            <w:pPr>
              <w:pStyle w:val="TableParagraph"/>
              <w:numPr>
                <w:ilvl w:val="0"/>
                <w:numId w:val="50"/>
              </w:numPr>
              <w:tabs>
                <w:tab w:pos="328" w:val="left" w:leader="none"/>
              </w:tabs>
              <w:spacing w:line="213" w:lineRule="auto" w:before="0" w:after="0"/>
              <w:ind w:left="327" w:right="287" w:hanging="216"/>
              <w:jc w:val="left"/>
              <w:rPr>
                <w:sz w:val="24"/>
              </w:rPr>
            </w:pPr>
            <w:r>
              <w:rPr>
                <w:sz w:val="24"/>
              </w:rPr>
              <w:t>TFM</w:t>
            </w:r>
            <w:r>
              <w:rPr>
                <w:spacing w:val="-3"/>
                <w:sz w:val="24"/>
              </w:rPr>
              <w:t> </w:t>
            </w:r>
            <w:hyperlink r:id="rId64">
              <w:r>
                <w:rPr>
                  <w:color w:val="0000FF"/>
                  <w:sz w:val="24"/>
                </w:rPr>
                <w:t>Volume</w:t>
              </w:r>
              <w:r>
                <w:rPr>
                  <w:color w:val="0000FF"/>
                  <w:spacing w:val="-4"/>
                  <w:sz w:val="24"/>
                </w:rPr>
                <w:t> </w:t>
              </w:r>
              <w:r>
                <w:rPr>
                  <w:color w:val="0000FF"/>
                  <w:sz w:val="24"/>
                </w:rPr>
                <w:t>I,</w:t>
              </w:r>
              <w:r>
                <w:rPr>
                  <w:color w:val="0000FF"/>
                  <w:spacing w:val="-5"/>
                  <w:sz w:val="24"/>
                </w:rPr>
                <w:t> </w:t>
              </w:r>
              <w:r>
                <w:rPr>
                  <w:color w:val="0000FF"/>
                  <w:sz w:val="24"/>
                </w:rPr>
                <w:t>Part</w:t>
              </w:r>
              <w:r>
                <w:rPr>
                  <w:color w:val="0000FF"/>
                  <w:spacing w:val="-6"/>
                  <w:sz w:val="24"/>
                </w:rPr>
                <w:t> </w:t>
              </w:r>
              <w:r>
                <w:rPr>
                  <w:color w:val="0000FF"/>
                  <w:sz w:val="24"/>
                </w:rPr>
                <w:t>3,</w:t>
              </w:r>
              <w:r>
                <w:rPr>
                  <w:color w:val="0000FF"/>
                  <w:spacing w:val="-4"/>
                  <w:sz w:val="24"/>
                </w:rPr>
                <w:t> </w:t>
              </w:r>
              <w:r>
                <w:rPr>
                  <w:color w:val="0000FF"/>
                  <w:sz w:val="24"/>
                </w:rPr>
                <w:t>Chapter</w:t>
              </w:r>
              <w:r>
                <w:rPr>
                  <w:color w:val="0000FF"/>
                  <w:spacing w:val="-5"/>
                  <w:sz w:val="24"/>
                </w:rPr>
                <w:t> </w:t>
              </w:r>
              <w:r>
                <w:rPr>
                  <w:color w:val="0000FF"/>
                  <w:sz w:val="24"/>
                </w:rPr>
                <w:t>7000</w:t>
              </w:r>
            </w:hyperlink>
            <w:r>
              <w:rPr>
                <w:color w:val="0000FF"/>
                <w:spacing w:val="-4"/>
                <w:sz w:val="24"/>
              </w:rPr>
              <w:t> </w:t>
            </w:r>
            <w:r>
              <w:rPr>
                <w:sz w:val="24"/>
              </w:rPr>
              <w:t>Treasury</w:t>
            </w:r>
            <w:r>
              <w:rPr>
                <w:spacing w:val="-4"/>
                <w:sz w:val="24"/>
              </w:rPr>
              <w:t> </w:t>
            </w:r>
            <w:r>
              <w:rPr>
                <w:sz w:val="24"/>
              </w:rPr>
              <w:t>Report</w:t>
            </w:r>
            <w:r>
              <w:rPr>
                <w:spacing w:val="-5"/>
                <w:sz w:val="24"/>
              </w:rPr>
              <w:t> </w:t>
            </w:r>
            <w:r>
              <w:rPr>
                <w:sz w:val="24"/>
              </w:rPr>
              <w:t>on Receivables</w:t>
            </w:r>
            <w:r>
              <w:rPr>
                <w:spacing w:val="-30"/>
                <w:sz w:val="24"/>
              </w:rPr>
              <w:t> </w:t>
            </w:r>
            <w:r>
              <w:rPr>
                <w:sz w:val="24"/>
              </w:rPr>
              <w:t>(TROR);</w:t>
            </w:r>
          </w:p>
          <w:p>
            <w:pPr>
              <w:pStyle w:val="TableParagraph"/>
              <w:numPr>
                <w:ilvl w:val="0"/>
                <w:numId w:val="50"/>
              </w:numPr>
              <w:tabs>
                <w:tab w:pos="328" w:val="left" w:leader="none"/>
              </w:tabs>
              <w:spacing w:line="216" w:lineRule="auto" w:before="0" w:after="0"/>
              <w:ind w:left="327" w:right="247" w:hanging="216"/>
              <w:jc w:val="left"/>
              <w:rPr>
                <w:sz w:val="24"/>
              </w:rPr>
            </w:pPr>
            <w:r>
              <w:rPr>
                <w:sz w:val="24"/>
              </w:rPr>
              <w:t>TFM </w:t>
            </w:r>
            <w:hyperlink r:id="rId64">
              <w:r>
                <w:rPr>
                  <w:color w:val="0000FF"/>
                  <w:sz w:val="24"/>
                </w:rPr>
                <w:t>Volume I, Part 3, Chapter 7000</w:t>
              </w:r>
            </w:hyperlink>
            <w:r>
              <w:rPr>
                <w:color w:val="0000FF"/>
                <w:sz w:val="24"/>
              </w:rPr>
              <w:t> </w:t>
            </w:r>
            <w:r>
              <w:rPr>
                <w:sz w:val="24"/>
              </w:rPr>
              <w:t>Section 7120, Reporting</w:t>
            </w:r>
            <w:r>
              <w:rPr>
                <w:spacing w:val="-8"/>
                <w:sz w:val="24"/>
              </w:rPr>
              <w:t> </w:t>
            </w:r>
            <w:r>
              <w:rPr>
                <w:sz w:val="24"/>
              </w:rPr>
              <w:t>Requirements,</w:t>
            </w:r>
            <w:r>
              <w:rPr>
                <w:spacing w:val="-8"/>
                <w:sz w:val="24"/>
              </w:rPr>
              <w:t> </w:t>
            </w:r>
            <w:r>
              <w:rPr>
                <w:sz w:val="24"/>
              </w:rPr>
              <w:t>and</w:t>
            </w:r>
            <w:r>
              <w:rPr>
                <w:spacing w:val="-9"/>
                <w:sz w:val="24"/>
              </w:rPr>
              <w:t> </w:t>
            </w:r>
            <w:r>
              <w:rPr>
                <w:sz w:val="24"/>
              </w:rPr>
              <w:t>the</w:t>
            </w:r>
            <w:r>
              <w:rPr>
                <w:spacing w:val="-9"/>
                <w:sz w:val="24"/>
              </w:rPr>
              <w:t> </w:t>
            </w:r>
            <w:hyperlink r:id="rId65">
              <w:r>
                <w:rPr>
                  <w:i/>
                  <w:color w:val="0000FF"/>
                  <w:sz w:val="24"/>
                </w:rPr>
                <w:t>Instructional</w:t>
              </w:r>
              <w:r>
                <w:rPr>
                  <w:i/>
                  <w:color w:val="0000FF"/>
                  <w:spacing w:val="-9"/>
                  <w:sz w:val="24"/>
                </w:rPr>
                <w:t> </w:t>
              </w:r>
              <w:r>
                <w:rPr>
                  <w:i/>
                  <w:color w:val="0000FF"/>
                  <w:sz w:val="24"/>
                </w:rPr>
                <w:t>Workbook</w:t>
              </w:r>
            </w:hyperlink>
            <w:r>
              <w:rPr>
                <w:i/>
                <w:color w:val="0000FF"/>
                <w:sz w:val="24"/>
              </w:rPr>
              <w:t> </w:t>
            </w:r>
            <w:hyperlink r:id="rId65">
              <w:r>
                <w:rPr>
                  <w:i/>
                  <w:color w:val="0000FF"/>
                  <w:sz w:val="24"/>
                </w:rPr>
                <w:t>for Preparing the Treasury Report on</w:t>
              </w:r>
            </w:hyperlink>
            <w:r>
              <w:rPr>
                <w:i/>
                <w:color w:val="0000FF"/>
                <w:sz w:val="24"/>
              </w:rPr>
              <w:t> </w:t>
            </w:r>
            <w:hyperlink r:id="rId65">
              <w:r>
                <w:rPr>
                  <w:i/>
                  <w:color w:val="0000FF"/>
                  <w:sz w:val="24"/>
                </w:rPr>
                <w:t>Receivables and</w:t>
              </w:r>
            </w:hyperlink>
            <w:r>
              <w:rPr>
                <w:i/>
                <w:color w:val="0000FF"/>
                <w:sz w:val="24"/>
              </w:rPr>
              <w:t> </w:t>
            </w:r>
            <w:hyperlink r:id="rId65">
              <w:r>
                <w:rPr>
                  <w:i/>
                  <w:color w:val="0000FF"/>
                  <w:sz w:val="24"/>
                </w:rPr>
                <w:t>Debt Collection Activities, Part I, Status of Receivables</w:t>
              </w:r>
            </w:hyperlink>
            <w:r>
              <w:rPr>
                <w:i/>
                <w:color w:val="0000FF"/>
                <w:sz w:val="24"/>
              </w:rPr>
              <w:t> </w:t>
            </w:r>
            <w:r>
              <w:rPr>
                <w:sz w:val="24"/>
              </w:rPr>
              <w:t>referenced therein;</w:t>
            </w:r>
          </w:p>
          <w:p>
            <w:pPr>
              <w:pStyle w:val="TableParagraph"/>
              <w:numPr>
                <w:ilvl w:val="0"/>
                <w:numId w:val="50"/>
              </w:numPr>
              <w:tabs>
                <w:tab w:pos="328" w:val="left" w:leader="none"/>
              </w:tabs>
              <w:spacing w:line="216" w:lineRule="auto" w:before="0" w:after="0"/>
              <w:ind w:left="327" w:right="807" w:hanging="216"/>
              <w:jc w:val="left"/>
              <w:rPr>
                <w:sz w:val="24"/>
              </w:rPr>
            </w:pPr>
            <w:hyperlink r:id="rId41">
              <w:r>
                <w:rPr>
                  <w:color w:val="0000FF"/>
                  <w:sz w:val="24"/>
                </w:rPr>
                <w:t>OMB</w:t>
              </w:r>
            </w:hyperlink>
            <w:r>
              <w:rPr>
                <w:color w:val="0000FF"/>
                <w:spacing w:val="-6"/>
                <w:sz w:val="24"/>
              </w:rPr>
              <w:t> </w:t>
            </w:r>
            <w:r>
              <w:rPr>
                <w:sz w:val="24"/>
              </w:rPr>
              <w:t>Circular</w:t>
            </w:r>
            <w:r>
              <w:rPr>
                <w:spacing w:val="-5"/>
                <w:sz w:val="24"/>
              </w:rPr>
              <w:t> </w:t>
            </w:r>
            <w:r>
              <w:rPr>
                <w:sz w:val="24"/>
              </w:rPr>
              <w:t>No.</w:t>
            </w:r>
            <w:r>
              <w:rPr>
                <w:spacing w:val="-5"/>
                <w:sz w:val="24"/>
              </w:rPr>
              <w:t> </w:t>
            </w:r>
            <w:r>
              <w:rPr>
                <w:sz w:val="24"/>
              </w:rPr>
              <w:t>A-129,</w:t>
            </w:r>
            <w:r>
              <w:rPr>
                <w:spacing w:val="-6"/>
                <w:sz w:val="24"/>
              </w:rPr>
              <w:t> </w:t>
            </w:r>
            <w:r>
              <w:rPr>
                <w:sz w:val="24"/>
              </w:rPr>
              <w:t>Policies</w:t>
            </w:r>
            <w:r>
              <w:rPr>
                <w:spacing w:val="-6"/>
                <w:sz w:val="24"/>
              </w:rPr>
              <w:t> </w:t>
            </w:r>
            <w:r>
              <w:rPr>
                <w:sz w:val="24"/>
              </w:rPr>
              <w:t>for</w:t>
            </w:r>
            <w:r>
              <w:rPr>
                <w:spacing w:val="-6"/>
                <w:sz w:val="24"/>
              </w:rPr>
              <w:t> </w:t>
            </w:r>
            <w:r>
              <w:rPr>
                <w:sz w:val="24"/>
              </w:rPr>
              <w:t>Federal</w:t>
            </w:r>
            <w:r>
              <w:rPr>
                <w:spacing w:val="-6"/>
                <w:sz w:val="24"/>
              </w:rPr>
              <w:t> </w:t>
            </w:r>
            <w:r>
              <w:rPr>
                <w:sz w:val="24"/>
              </w:rPr>
              <w:t>Credit Programs and Non-Tax Receivables, Appendix A, Program Reviews, Part IV, Managing the Federal Government’s Receivables;</w:t>
            </w:r>
          </w:p>
          <w:p>
            <w:pPr>
              <w:pStyle w:val="TableParagraph"/>
              <w:numPr>
                <w:ilvl w:val="0"/>
                <w:numId w:val="50"/>
              </w:numPr>
              <w:tabs>
                <w:tab w:pos="328" w:val="left" w:leader="none"/>
              </w:tabs>
              <w:spacing w:line="213" w:lineRule="auto" w:before="0" w:after="0"/>
              <w:ind w:left="327" w:right="432"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w:t>
            </w:r>
            <w:r>
              <w:rPr>
                <w:spacing w:val="-2"/>
                <w:sz w:val="24"/>
              </w:rPr>
              <w:t>Sources;</w:t>
            </w:r>
          </w:p>
          <w:p>
            <w:pPr>
              <w:pStyle w:val="TableParagraph"/>
              <w:numPr>
                <w:ilvl w:val="0"/>
                <w:numId w:val="50"/>
              </w:numPr>
              <w:tabs>
                <w:tab w:pos="328" w:val="left" w:leader="none"/>
              </w:tabs>
              <w:spacing w:line="258" w:lineRule="exact" w:before="0" w:after="0"/>
              <w:ind w:left="327" w:right="0" w:hanging="217"/>
              <w:jc w:val="left"/>
              <w:rPr>
                <w:sz w:val="24"/>
              </w:rPr>
            </w:pPr>
            <w:hyperlink r:id="rId29">
              <w:r>
                <w:rPr>
                  <w:color w:val="0000FF"/>
                  <w:sz w:val="24"/>
                </w:rPr>
                <w:t>SFFAS</w:t>
              </w:r>
              <w:r>
                <w:rPr>
                  <w:color w:val="0000FF"/>
                  <w:spacing w:val="-3"/>
                  <w:sz w:val="24"/>
                </w:rPr>
                <w:t> </w:t>
              </w:r>
              <w:r>
                <w:rPr>
                  <w:color w:val="0000FF"/>
                  <w:sz w:val="24"/>
                </w:rPr>
                <w:t>53</w:t>
              </w:r>
            </w:hyperlink>
            <w:r>
              <w:rPr>
                <w:sz w:val="24"/>
              </w:rPr>
              <w:t>:</w:t>
            </w:r>
            <w:r>
              <w:rPr>
                <w:spacing w:val="-3"/>
                <w:sz w:val="24"/>
              </w:rPr>
              <w:t> </w:t>
            </w:r>
            <w:r>
              <w:rPr>
                <w:sz w:val="24"/>
              </w:rPr>
              <w:t>Budget</w:t>
            </w:r>
            <w:r>
              <w:rPr>
                <w:spacing w:val="-3"/>
                <w:sz w:val="24"/>
              </w:rPr>
              <w:t> </w:t>
            </w:r>
            <w:r>
              <w:rPr>
                <w:sz w:val="24"/>
              </w:rPr>
              <w:t>and</w:t>
            </w:r>
            <w:r>
              <w:rPr>
                <w:spacing w:val="-3"/>
                <w:sz w:val="24"/>
              </w:rPr>
              <w:t> </w:t>
            </w:r>
            <w:r>
              <w:rPr>
                <w:sz w:val="24"/>
              </w:rPr>
              <w:t>Accrual</w:t>
            </w:r>
            <w:r>
              <w:rPr>
                <w:spacing w:val="-4"/>
                <w:sz w:val="24"/>
              </w:rPr>
              <w:t> </w:t>
            </w:r>
            <w:r>
              <w:rPr>
                <w:spacing w:val="-2"/>
                <w:sz w:val="24"/>
              </w:rPr>
              <w:t>Reconciliation;</w:t>
            </w:r>
          </w:p>
          <w:p>
            <w:pPr>
              <w:pStyle w:val="TableParagraph"/>
              <w:numPr>
                <w:ilvl w:val="0"/>
                <w:numId w:val="50"/>
              </w:numPr>
              <w:tabs>
                <w:tab w:pos="328" w:val="left" w:leader="none"/>
              </w:tabs>
              <w:spacing w:line="213" w:lineRule="auto" w:before="12" w:after="0"/>
              <w:ind w:left="327" w:right="241" w:hanging="216"/>
              <w:jc w:val="left"/>
              <w:rPr>
                <w:sz w:val="24"/>
              </w:rPr>
            </w:pPr>
            <w:hyperlink r:id="rId66">
              <w:r>
                <w:rPr>
                  <w:color w:val="0000FF"/>
                  <w:sz w:val="24"/>
                </w:rPr>
                <w:t>4</w:t>
              </w:r>
              <w:r>
                <w:rPr>
                  <w:color w:val="0000FF"/>
                  <w:spacing w:val="-4"/>
                  <w:sz w:val="24"/>
                </w:rPr>
                <w:t> </w:t>
              </w:r>
              <w:r>
                <w:rPr>
                  <w:color w:val="0000FF"/>
                  <w:sz w:val="24"/>
                </w:rPr>
                <w:t>CFR</w:t>
              </w:r>
              <w:r>
                <w:rPr>
                  <w:color w:val="0000FF"/>
                  <w:spacing w:val="-4"/>
                  <w:sz w:val="24"/>
                </w:rPr>
                <w:t> </w:t>
              </w:r>
              <w:r>
                <w:rPr>
                  <w:color w:val="0000FF"/>
                  <w:sz w:val="24"/>
                </w:rPr>
                <w:t>102</w:t>
              </w:r>
            </w:hyperlink>
            <w:r>
              <w:rPr>
                <w:sz w:val="24"/>
              </w:rPr>
              <w:t>,</w:t>
            </w:r>
            <w:r>
              <w:rPr>
                <w:spacing w:val="-2"/>
                <w:sz w:val="24"/>
              </w:rPr>
              <w:t> </w:t>
            </w:r>
            <w:r>
              <w:rPr>
                <w:sz w:val="24"/>
              </w:rPr>
              <w:t>Standards</w:t>
            </w:r>
            <w:r>
              <w:rPr>
                <w:spacing w:val="-4"/>
                <w:sz w:val="24"/>
              </w:rPr>
              <w:t> </w:t>
            </w:r>
            <w:r>
              <w:rPr>
                <w:sz w:val="24"/>
              </w:rPr>
              <w:t>for</w:t>
            </w:r>
            <w:r>
              <w:rPr>
                <w:spacing w:val="-3"/>
                <w:sz w:val="24"/>
              </w:rPr>
              <w:t> </w:t>
            </w:r>
            <w:r>
              <w:rPr>
                <w:sz w:val="24"/>
              </w:rPr>
              <w:t>the</w:t>
            </w:r>
            <w:r>
              <w:rPr>
                <w:spacing w:val="-4"/>
                <w:sz w:val="24"/>
              </w:rPr>
              <w:t> </w:t>
            </w:r>
            <w:r>
              <w:rPr>
                <w:sz w:val="24"/>
              </w:rPr>
              <w:t>AdministrativeCollection</w:t>
            </w:r>
            <w:r>
              <w:rPr>
                <w:spacing w:val="-4"/>
                <w:sz w:val="24"/>
              </w:rPr>
              <w:t> </w:t>
            </w:r>
            <w:r>
              <w:rPr>
                <w:sz w:val="24"/>
              </w:rPr>
              <w:t>of </w:t>
            </w:r>
            <w:r>
              <w:rPr>
                <w:spacing w:val="-2"/>
                <w:sz w:val="24"/>
              </w:rPr>
              <w:t>Claims,</w:t>
            </w:r>
          </w:p>
          <w:p>
            <w:pPr>
              <w:pStyle w:val="TableParagraph"/>
              <w:numPr>
                <w:ilvl w:val="0"/>
                <w:numId w:val="50"/>
              </w:numPr>
              <w:tabs>
                <w:tab w:pos="328" w:val="left" w:leader="none"/>
              </w:tabs>
              <w:spacing w:line="256" w:lineRule="exact" w:before="0" w:after="0"/>
              <w:ind w:left="327" w:right="0" w:hanging="217"/>
              <w:jc w:val="left"/>
              <w:rPr>
                <w:sz w:val="24"/>
              </w:rPr>
            </w:pPr>
            <w:hyperlink r:id="rId53">
              <w:r>
                <w:rPr>
                  <w:color w:val="0000FF"/>
                  <w:sz w:val="24"/>
                </w:rPr>
                <w:t>48</w:t>
              </w:r>
              <w:r>
                <w:rPr>
                  <w:color w:val="0000FF"/>
                  <w:spacing w:val="-3"/>
                  <w:sz w:val="24"/>
                </w:rPr>
                <w:t> </w:t>
              </w:r>
              <w:r>
                <w:rPr>
                  <w:color w:val="0000FF"/>
                  <w:sz w:val="24"/>
                </w:rPr>
                <w:t>CFR</w:t>
              </w:r>
              <w:r>
                <w:rPr>
                  <w:color w:val="0000FF"/>
                  <w:spacing w:val="-3"/>
                  <w:sz w:val="24"/>
                </w:rPr>
                <w:t> </w:t>
              </w:r>
              <w:r>
                <w:rPr>
                  <w:color w:val="0000FF"/>
                  <w:sz w:val="24"/>
                </w:rPr>
                <w:t>32</w:t>
              </w:r>
            </w:hyperlink>
            <w:r>
              <w:rPr>
                <w:sz w:val="24"/>
              </w:rPr>
              <w:t>, Contract</w:t>
            </w:r>
            <w:r>
              <w:rPr>
                <w:spacing w:val="-5"/>
                <w:sz w:val="24"/>
              </w:rPr>
              <w:t> </w:t>
            </w:r>
            <w:r>
              <w:rPr>
                <w:spacing w:val="-2"/>
                <w:sz w:val="24"/>
              </w:rPr>
              <w:t>Financing.</w:t>
            </w:r>
          </w:p>
        </w:tc>
      </w:tr>
    </w:tbl>
    <w:p>
      <w:pPr>
        <w:spacing w:after="0" w:line="256" w:lineRule="exact"/>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3574"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2.2.4.2</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191"/>
              <w:rPr>
                <w:sz w:val="24"/>
              </w:rPr>
            </w:pPr>
            <w:r>
              <w:rPr>
                <w:sz w:val="24"/>
              </w:rPr>
              <w:t>Determine receivable amount, including penalty and interest, and other receivable information consistent</w:t>
            </w:r>
            <w:r>
              <w:rPr>
                <w:spacing w:val="-9"/>
                <w:sz w:val="24"/>
              </w:rPr>
              <w:t> </w:t>
            </w:r>
            <w:r>
              <w:rPr>
                <w:sz w:val="24"/>
              </w:rPr>
              <w:t>with</w:t>
            </w:r>
            <w:r>
              <w:rPr>
                <w:spacing w:val="-10"/>
                <w:sz w:val="24"/>
              </w:rPr>
              <w:t> </w:t>
            </w:r>
            <w:r>
              <w:rPr>
                <w:sz w:val="24"/>
              </w:rPr>
              <w:t>OMB</w:t>
            </w:r>
            <w:r>
              <w:rPr>
                <w:spacing w:val="-12"/>
                <w:sz w:val="24"/>
              </w:rPr>
              <w:t> </w:t>
            </w:r>
            <w:r>
              <w:rPr>
                <w:sz w:val="24"/>
              </w:rPr>
              <w:t>Circular</w:t>
            </w:r>
            <w:r>
              <w:rPr>
                <w:spacing w:val="-9"/>
                <w:sz w:val="24"/>
              </w:rPr>
              <w:t> </w:t>
            </w:r>
            <w:r>
              <w:rPr>
                <w:sz w:val="24"/>
              </w:rPr>
              <w:t>No. A-129, the FASAB Handbook, and the CFR.</w:t>
            </w:r>
          </w:p>
        </w:tc>
        <w:tc>
          <w:tcPr>
            <w:tcW w:w="6628" w:type="dxa"/>
          </w:tcPr>
          <w:p>
            <w:pPr>
              <w:pStyle w:val="TableParagraph"/>
              <w:numPr>
                <w:ilvl w:val="0"/>
                <w:numId w:val="51"/>
              </w:numPr>
              <w:tabs>
                <w:tab w:pos="328" w:val="left" w:leader="none"/>
              </w:tabs>
              <w:spacing w:line="216" w:lineRule="auto" w:before="0" w:after="0"/>
              <w:ind w:left="327" w:right="807" w:hanging="216"/>
              <w:jc w:val="left"/>
              <w:rPr>
                <w:sz w:val="24"/>
              </w:rPr>
            </w:pPr>
            <w:hyperlink r:id="rId41">
              <w:r>
                <w:rPr>
                  <w:color w:val="0000FF"/>
                  <w:sz w:val="24"/>
                </w:rPr>
                <w:t>OMB</w:t>
              </w:r>
            </w:hyperlink>
            <w:r>
              <w:rPr>
                <w:color w:val="0000FF"/>
                <w:spacing w:val="-6"/>
                <w:sz w:val="24"/>
              </w:rPr>
              <w:t> </w:t>
            </w:r>
            <w:r>
              <w:rPr>
                <w:sz w:val="24"/>
              </w:rPr>
              <w:t>Circular</w:t>
            </w:r>
            <w:r>
              <w:rPr>
                <w:spacing w:val="-5"/>
                <w:sz w:val="24"/>
              </w:rPr>
              <w:t> </w:t>
            </w:r>
            <w:r>
              <w:rPr>
                <w:sz w:val="24"/>
              </w:rPr>
              <w:t>No.</w:t>
            </w:r>
            <w:r>
              <w:rPr>
                <w:spacing w:val="-5"/>
                <w:sz w:val="24"/>
              </w:rPr>
              <w:t> </w:t>
            </w:r>
            <w:r>
              <w:rPr>
                <w:sz w:val="24"/>
              </w:rPr>
              <w:t>A-129,</w:t>
            </w:r>
            <w:r>
              <w:rPr>
                <w:spacing w:val="-6"/>
                <w:sz w:val="24"/>
              </w:rPr>
              <w:t> </w:t>
            </w:r>
            <w:r>
              <w:rPr>
                <w:sz w:val="24"/>
              </w:rPr>
              <w:t>Policies</w:t>
            </w:r>
            <w:r>
              <w:rPr>
                <w:spacing w:val="-6"/>
                <w:sz w:val="24"/>
              </w:rPr>
              <w:t> </w:t>
            </w:r>
            <w:r>
              <w:rPr>
                <w:sz w:val="24"/>
              </w:rPr>
              <w:t>for</w:t>
            </w:r>
            <w:r>
              <w:rPr>
                <w:spacing w:val="-6"/>
                <w:sz w:val="24"/>
              </w:rPr>
              <w:t> </w:t>
            </w:r>
            <w:r>
              <w:rPr>
                <w:sz w:val="24"/>
              </w:rPr>
              <w:t>Federal</w:t>
            </w:r>
            <w:r>
              <w:rPr>
                <w:spacing w:val="-6"/>
                <w:sz w:val="24"/>
              </w:rPr>
              <w:t> </w:t>
            </w:r>
            <w:r>
              <w:rPr>
                <w:sz w:val="24"/>
              </w:rPr>
              <w:t>Credit Programs and Non-Tax Receivables, Appendix A, Program Reviews, Part IV, Managing the Federal Government’s Receivables;</w:t>
            </w:r>
          </w:p>
          <w:p>
            <w:pPr>
              <w:pStyle w:val="TableParagraph"/>
              <w:numPr>
                <w:ilvl w:val="0"/>
                <w:numId w:val="51"/>
              </w:numPr>
              <w:tabs>
                <w:tab w:pos="328" w:val="left" w:leader="none"/>
              </w:tabs>
              <w:spacing w:line="216" w:lineRule="auto" w:before="0" w:after="0"/>
              <w:ind w:left="327" w:right="554" w:hanging="216"/>
              <w:jc w:val="left"/>
              <w:rPr>
                <w:sz w:val="24"/>
              </w:rPr>
            </w:pPr>
            <w:hyperlink r:id="rId41">
              <w:r>
                <w:rPr>
                  <w:color w:val="0000FF"/>
                  <w:sz w:val="24"/>
                </w:rPr>
                <w:t>OMB</w:t>
              </w:r>
            </w:hyperlink>
            <w:r>
              <w:rPr>
                <w:color w:val="0000FF"/>
                <w:sz w:val="24"/>
              </w:rPr>
              <w:t> </w:t>
            </w:r>
            <w:r>
              <w:rPr>
                <w:sz w:val="24"/>
              </w:rPr>
              <w:t>Circular No. A-129, Policies for Federal Credit Programs and Non-Tax Receivables, Appendix A, Program</w:t>
            </w:r>
            <w:r>
              <w:rPr>
                <w:spacing w:val="-7"/>
                <w:sz w:val="24"/>
              </w:rPr>
              <w:t> </w:t>
            </w:r>
            <w:r>
              <w:rPr>
                <w:sz w:val="24"/>
              </w:rPr>
              <w:t>Reviews,</w:t>
            </w:r>
            <w:r>
              <w:rPr>
                <w:spacing w:val="-6"/>
                <w:sz w:val="24"/>
              </w:rPr>
              <w:t> </w:t>
            </w:r>
            <w:r>
              <w:rPr>
                <w:sz w:val="24"/>
              </w:rPr>
              <w:t>Part</w:t>
            </w:r>
            <w:r>
              <w:rPr>
                <w:spacing w:val="-6"/>
                <w:sz w:val="24"/>
              </w:rPr>
              <w:t> </w:t>
            </w:r>
            <w:r>
              <w:rPr>
                <w:sz w:val="24"/>
              </w:rPr>
              <w:t>V,</w:t>
            </w:r>
            <w:r>
              <w:rPr>
                <w:spacing w:val="-8"/>
                <w:sz w:val="24"/>
              </w:rPr>
              <w:t> </w:t>
            </w:r>
            <w:r>
              <w:rPr>
                <w:sz w:val="24"/>
              </w:rPr>
              <w:t>Delinquent</w:t>
            </w:r>
            <w:r>
              <w:rPr>
                <w:spacing w:val="-7"/>
                <w:sz w:val="24"/>
              </w:rPr>
              <w:t> </w:t>
            </w:r>
            <w:r>
              <w:rPr>
                <w:sz w:val="24"/>
              </w:rPr>
              <w:t>Debt</w:t>
            </w:r>
            <w:r>
              <w:rPr>
                <w:spacing w:val="-7"/>
                <w:sz w:val="24"/>
              </w:rPr>
              <w:t> </w:t>
            </w:r>
            <w:r>
              <w:rPr>
                <w:sz w:val="24"/>
              </w:rPr>
              <w:t>Collection;</w:t>
            </w:r>
          </w:p>
          <w:p>
            <w:pPr>
              <w:pStyle w:val="TableParagraph"/>
              <w:numPr>
                <w:ilvl w:val="0"/>
                <w:numId w:val="51"/>
              </w:numPr>
              <w:tabs>
                <w:tab w:pos="328" w:val="left" w:leader="none"/>
              </w:tabs>
              <w:spacing w:line="216" w:lineRule="auto" w:before="0" w:after="0"/>
              <w:ind w:left="327" w:right="271" w:hanging="216"/>
              <w:jc w:val="left"/>
              <w:rPr>
                <w:sz w:val="24"/>
              </w:rPr>
            </w:pPr>
            <w:hyperlink r:id="rId16">
              <w:r>
                <w:rPr>
                  <w:color w:val="0000FF"/>
                  <w:sz w:val="24"/>
                </w:rPr>
                <w:t>SFFAS</w:t>
              </w:r>
              <w:r>
                <w:rPr>
                  <w:color w:val="0000FF"/>
                  <w:spacing w:val="-6"/>
                  <w:sz w:val="24"/>
                </w:rPr>
                <w:t> </w:t>
              </w:r>
              <w:r>
                <w:rPr>
                  <w:color w:val="0000FF"/>
                  <w:sz w:val="24"/>
                </w:rPr>
                <w:t>1</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Selected</w:t>
            </w:r>
            <w:r>
              <w:rPr>
                <w:spacing w:val="-6"/>
                <w:sz w:val="24"/>
              </w:rPr>
              <w:t> </w:t>
            </w:r>
            <w:r>
              <w:rPr>
                <w:sz w:val="24"/>
              </w:rPr>
              <w:t>Assets</w:t>
            </w:r>
            <w:r>
              <w:rPr>
                <w:spacing w:val="-6"/>
                <w:sz w:val="24"/>
              </w:rPr>
              <w:t> </w:t>
            </w:r>
            <w:r>
              <w:rPr>
                <w:sz w:val="24"/>
              </w:rPr>
              <w:t>and</w:t>
            </w:r>
            <w:r>
              <w:rPr>
                <w:spacing w:val="-6"/>
                <w:sz w:val="24"/>
              </w:rPr>
              <w:t> </w:t>
            </w:r>
            <w:r>
              <w:rPr>
                <w:sz w:val="24"/>
              </w:rPr>
              <w:t>Liabilities, Accounts Receivable;</w:t>
            </w:r>
          </w:p>
          <w:p>
            <w:pPr>
              <w:pStyle w:val="TableParagraph"/>
              <w:numPr>
                <w:ilvl w:val="0"/>
                <w:numId w:val="51"/>
              </w:numPr>
              <w:tabs>
                <w:tab w:pos="328" w:val="left" w:leader="none"/>
              </w:tabs>
              <w:spacing w:line="213" w:lineRule="auto" w:before="0" w:after="0"/>
              <w:ind w:left="327" w:right="432" w:hanging="216"/>
              <w:jc w:val="left"/>
              <w:rPr>
                <w:sz w:val="24"/>
              </w:rPr>
            </w:pPr>
            <w:hyperlink r:id="rId20">
              <w:r>
                <w:rPr>
                  <w:color w:val="0000FF"/>
                  <w:sz w:val="24"/>
                </w:rPr>
                <w:t>SFFAS</w:t>
              </w:r>
              <w:r>
                <w:rPr>
                  <w:color w:val="0000FF"/>
                  <w:spacing w:val="-6"/>
                  <w:sz w:val="24"/>
                </w:rPr>
                <w:t> </w:t>
              </w:r>
              <w:r>
                <w:rPr>
                  <w:color w:val="0000FF"/>
                  <w:sz w:val="24"/>
                </w:rPr>
                <w:t>7</w:t>
              </w:r>
            </w:hyperlink>
            <w:r>
              <w:rPr>
                <w:sz w:val="24"/>
              </w:rPr>
              <w:t>:</w:t>
            </w:r>
            <w:r>
              <w:rPr>
                <w:spacing w:val="-7"/>
                <w:sz w:val="24"/>
              </w:rPr>
              <w:t> </w:t>
            </w:r>
            <w:r>
              <w:rPr>
                <w:sz w:val="24"/>
              </w:rPr>
              <w:t>Accounting</w:t>
            </w:r>
            <w:r>
              <w:rPr>
                <w:spacing w:val="-5"/>
                <w:sz w:val="24"/>
              </w:rPr>
              <w:t> </w:t>
            </w:r>
            <w:r>
              <w:rPr>
                <w:sz w:val="24"/>
              </w:rPr>
              <w:t>for</w:t>
            </w:r>
            <w:r>
              <w:rPr>
                <w:spacing w:val="-6"/>
                <w:sz w:val="24"/>
              </w:rPr>
              <w:t> </w:t>
            </w:r>
            <w:r>
              <w:rPr>
                <w:sz w:val="24"/>
              </w:rPr>
              <w:t>Revenue</w:t>
            </w:r>
            <w:r>
              <w:rPr>
                <w:spacing w:val="-6"/>
                <w:sz w:val="24"/>
              </w:rPr>
              <w:t> </w:t>
            </w:r>
            <w:r>
              <w:rPr>
                <w:sz w:val="24"/>
              </w:rPr>
              <w:t>and</w:t>
            </w:r>
            <w:r>
              <w:rPr>
                <w:spacing w:val="-6"/>
                <w:sz w:val="24"/>
              </w:rPr>
              <w:t> </w:t>
            </w:r>
            <w:r>
              <w:rPr>
                <w:sz w:val="24"/>
              </w:rPr>
              <w:t>other</w:t>
            </w:r>
            <w:r>
              <w:rPr>
                <w:spacing w:val="-6"/>
                <w:sz w:val="24"/>
              </w:rPr>
              <w:t> </w:t>
            </w:r>
            <w:r>
              <w:rPr>
                <w:sz w:val="24"/>
              </w:rPr>
              <w:t>Financing </w:t>
            </w:r>
            <w:r>
              <w:rPr>
                <w:spacing w:val="-2"/>
                <w:sz w:val="24"/>
              </w:rPr>
              <w:t>Sources;</w:t>
            </w:r>
          </w:p>
          <w:p>
            <w:pPr>
              <w:pStyle w:val="TableParagraph"/>
              <w:numPr>
                <w:ilvl w:val="0"/>
                <w:numId w:val="51"/>
              </w:numPr>
              <w:tabs>
                <w:tab w:pos="328" w:val="left" w:leader="none"/>
              </w:tabs>
              <w:spacing w:line="258" w:lineRule="exact" w:before="0" w:after="0"/>
              <w:ind w:left="327" w:right="0" w:hanging="217"/>
              <w:jc w:val="left"/>
              <w:rPr>
                <w:sz w:val="24"/>
              </w:rPr>
            </w:pPr>
            <w:hyperlink r:id="rId29">
              <w:r>
                <w:rPr>
                  <w:color w:val="0000FF"/>
                  <w:sz w:val="24"/>
                </w:rPr>
                <w:t>SFFAS</w:t>
              </w:r>
              <w:r>
                <w:rPr>
                  <w:color w:val="0000FF"/>
                  <w:spacing w:val="-4"/>
                  <w:sz w:val="24"/>
                </w:rPr>
                <w:t> </w:t>
              </w:r>
              <w:r>
                <w:rPr>
                  <w:color w:val="0000FF"/>
                  <w:sz w:val="24"/>
                </w:rPr>
                <w:t>53</w:t>
              </w:r>
            </w:hyperlink>
            <w:r>
              <w:rPr>
                <w:sz w:val="24"/>
              </w:rPr>
              <w:t>:</w:t>
            </w:r>
            <w:r>
              <w:rPr>
                <w:spacing w:val="-2"/>
                <w:sz w:val="24"/>
              </w:rPr>
              <w:t> </w:t>
            </w:r>
            <w:r>
              <w:rPr>
                <w:sz w:val="24"/>
              </w:rPr>
              <w:t>Budget</w:t>
            </w:r>
            <w:r>
              <w:rPr>
                <w:spacing w:val="-3"/>
                <w:sz w:val="24"/>
              </w:rPr>
              <w:t> </w:t>
            </w:r>
            <w:r>
              <w:rPr>
                <w:sz w:val="24"/>
              </w:rPr>
              <w:t>and</w:t>
            </w:r>
            <w:r>
              <w:rPr>
                <w:spacing w:val="-3"/>
                <w:sz w:val="24"/>
              </w:rPr>
              <w:t> </w:t>
            </w:r>
            <w:r>
              <w:rPr>
                <w:sz w:val="24"/>
              </w:rPr>
              <w:t>Accrual</w:t>
            </w:r>
            <w:r>
              <w:rPr>
                <w:spacing w:val="-8"/>
                <w:sz w:val="24"/>
              </w:rPr>
              <w:t> </w:t>
            </w:r>
            <w:r>
              <w:rPr>
                <w:spacing w:val="-2"/>
                <w:sz w:val="24"/>
              </w:rPr>
              <w:t>Reconciliation;</w:t>
            </w:r>
          </w:p>
          <w:p>
            <w:pPr>
              <w:pStyle w:val="TableParagraph"/>
              <w:numPr>
                <w:ilvl w:val="0"/>
                <w:numId w:val="51"/>
              </w:numPr>
              <w:tabs>
                <w:tab w:pos="328" w:val="left" w:leader="none"/>
              </w:tabs>
              <w:spacing w:line="248" w:lineRule="exact" w:before="9" w:after="0"/>
              <w:ind w:left="327" w:right="241" w:hanging="216"/>
              <w:jc w:val="left"/>
              <w:rPr>
                <w:sz w:val="24"/>
              </w:rPr>
            </w:pPr>
            <w:hyperlink r:id="rId66">
              <w:r>
                <w:rPr>
                  <w:color w:val="0000FF"/>
                  <w:sz w:val="24"/>
                </w:rPr>
                <w:t>4</w:t>
              </w:r>
              <w:r>
                <w:rPr>
                  <w:color w:val="0000FF"/>
                  <w:spacing w:val="-4"/>
                  <w:sz w:val="24"/>
                </w:rPr>
                <w:t> </w:t>
              </w:r>
              <w:r>
                <w:rPr>
                  <w:color w:val="0000FF"/>
                  <w:sz w:val="24"/>
                </w:rPr>
                <w:t>CFR</w:t>
              </w:r>
              <w:r>
                <w:rPr>
                  <w:color w:val="0000FF"/>
                  <w:spacing w:val="-4"/>
                  <w:sz w:val="24"/>
                </w:rPr>
                <w:t> </w:t>
              </w:r>
              <w:r>
                <w:rPr>
                  <w:color w:val="0000FF"/>
                  <w:sz w:val="24"/>
                </w:rPr>
                <w:t>102</w:t>
              </w:r>
            </w:hyperlink>
            <w:r>
              <w:rPr>
                <w:sz w:val="24"/>
              </w:rPr>
              <w:t>,</w:t>
            </w:r>
            <w:r>
              <w:rPr>
                <w:spacing w:val="-2"/>
                <w:sz w:val="24"/>
              </w:rPr>
              <w:t> </w:t>
            </w:r>
            <w:r>
              <w:rPr>
                <w:sz w:val="24"/>
              </w:rPr>
              <w:t>Standards</w:t>
            </w:r>
            <w:r>
              <w:rPr>
                <w:spacing w:val="-4"/>
                <w:sz w:val="24"/>
              </w:rPr>
              <w:t> </w:t>
            </w:r>
            <w:r>
              <w:rPr>
                <w:sz w:val="24"/>
              </w:rPr>
              <w:t>for</w:t>
            </w:r>
            <w:r>
              <w:rPr>
                <w:spacing w:val="-4"/>
                <w:sz w:val="24"/>
              </w:rPr>
              <w:t> </w:t>
            </w:r>
            <w:r>
              <w:rPr>
                <w:sz w:val="24"/>
              </w:rPr>
              <w:t>the</w:t>
            </w:r>
            <w:r>
              <w:rPr>
                <w:spacing w:val="-4"/>
                <w:sz w:val="24"/>
              </w:rPr>
              <w:t> </w:t>
            </w:r>
            <w:r>
              <w:rPr>
                <w:sz w:val="24"/>
              </w:rPr>
              <w:t>AdministrativeCollection</w:t>
            </w:r>
            <w:r>
              <w:rPr>
                <w:spacing w:val="-4"/>
                <w:sz w:val="24"/>
              </w:rPr>
              <w:t> </w:t>
            </w:r>
            <w:r>
              <w:rPr>
                <w:sz w:val="24"/>
              </w:rPr>
              <w:t>of </w:t>
            </w:r>
            <w:r>
              <w:rPr>
                <w:spacing w:val="-2"/>
                <w:sz w:val="24"/>
              </w:rPr>
              <w:t>Claims.</w:t>
            </w:r>
          </w:p>
        </w:tc>
      </w:tr>
      <w:tr>
        <w:trPr>
          <w:trHeight w:val="2235"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2.2.4.3</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96"/>
              <w:rPr>
                <w:sz w:val="24"/>
              </w:rPr>
            </w:pPr>
            <w:r>
              <w:rPr>
                <w:sz w:val="24"/>
              </w:rPr>
              <w:t>Provide receivable data required to</w:t>
            </w:r>
            <w:r>
              <w:rPr>
                <w:spacing w:val="-10"/>
                <w:sz w:val="24"/>
              </w:rPr>
              <w:t> </w:t>
            </w:r>
            <w:r>
              <w:rPr>
                <w:sz w:val="24"/>
              </w:rPr>
              <w:t>post</w:t>
            </w:r>
            <w:r>
              <w:rPr>
                <w:spacing w:val="-11"/>
                <w:sz w:val="24"/>
              </w:rPr>
              <w:t> </w:t>
            </w:r>
            <w:r>
              <w:rPr>
                <w:sz w:val="24"/>
              </w:rPr>
              <w:t>GL</w:t>
            </w:r>
            <w:r>
              <w:rPr>
                <w:spacing w:val="-11"/>
                <w:sz w:val="24"/>
              </w:rPr>
              <w:t> </w:t>
            </w:r>
            <w:r>
              <w:rPr>
                <w:sz w:val="24"/>
              </w:rPr>
              <w:t>transactions</w:t>
            </w:r>
            <w:r>
              <w:rPr>
                <w:spacing w:val="-10"/>
                <w:sz w:val="24"/>
              </w:rPr>
              <w:t> </w:t>
            </w:r>
            <w:r>
              <w:rPr>
                <w:sz w:val="24"/>
              </w:rPr>
              <w:t>consistent with USSGL transaction codes, transaction categories (for example, collections and receivables), and transaction subcategories (for example, receivables/accrued revenue) as</w:t>
            </w:r>
          </w:p>
          <w:p>
            <w:pPr>
              <w:pStyle w:val="TableParagraph"/>
              <w:spacing w:line="238" w:lineRule="exact"/>
              <w:ind w:left="110"/>
              <w:rPr>
                <w:sz w:val="24"/>
              </w:rPr>
            </w:pPr>
            <w:r>
              <w:rPr>
                <w:sz w:val="24"/>
              </w:rPr>
              <w:t>defined</w:t>
            </w:r>
            <w:r>
              <w:rPr>
                <w:spacing w:val="-5"/>
                <w:sz w:val="24"/>
              </w:rPr>
              <w:t> </w:t>
            </w:r>
            <w:r>
              <w:rPr>
                <w:sz w:val="24"/>
              </w:rPr>
              <w:t>in</w:t>
            </w:r>
            <w:r>
              <w:rPr>
                <w:spacing w:val="-2"/>
                <w:sz w:val="24"/>
              </w:rPr>
              <w:t> </w:t>
            </w:r>
            <w:r>
              <w:rPr>
                <w:sz w:val="24"/>
              </w:rPr>
              <w:t>the</w:t>
            </w:r>
            <w:r>
              <w:rPr>
                <w:spacing w:val="-2"/>
                <w:sz w:val="24"/>
              </w:rPr>
              <w:t> </w:t>
            </w:r>
            <w:r>
              <w:rPr>
                <w:spacing w:val="-4"/>
                <w:sz w:val="24"/>
              </w:rPr>
              <w:t>TFM.</w:t>
            </w:r>
          </w:p>
        </w:tc>
        <w:tc>
          <w:tcPr>
            <w:tcW w:w="6628" w:type="dxa"/>
          </w:tcPr>
          <w:p>
            <w:pPr>
              <w:pStyle w:val="TableParagraph"/>
              <w:numPr>
                <w:ilvl w:val="0"/>
                <w:numId w:val="52"/>
              </w:numPr>
              <w:tabs>
                <w:tab w:pos="328" w:val="left" w:leader="none"/>
              </w:tabs>
              <w:spacing w:line="247"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3"/>
                <w:sz w:val="24"/>
              </w:rPr>
              <w:t> </w:t>
            </w:r>
            <w:r>
              <w:rPr>
                <w:sz w:val="24"/>
              </w:rPr>
              <w:t>III:</w:t>
            </w:r>
            <w:r>
              <w:rPr>
                <w:spacing w:val="-3"/>
                <w:sz w:val="24"/>
              </w:rPr>
              <w:t> </w:t>
            </w:r>
            <w:r>
              <w:rPr>
                <w:sz w:val="24"/>
              </w:rPr>
              <w:t>Account</w:t>
            </w:r>
            <w:r>
              <w:rPr>
                <w:spacing w:val="-3"/>
                <w:sz w:val="24"/>
              </w:rPr>
              <w:t> </w:t>
            </w:r>
            <w:r>
              <w:rPr>
                <w:spacing w:val="-2"/>
                <w:sz w:val="24"/>
              </w:rPr>
              <w:t>Transactions;</w:t>
            </w:r>
          </w:p>
          <w:p>
            <w:pPr>
              <w:pStyle w:val="TableParagraph"/>
              <w:numPr>
                <w:ilvl w:val="0"/>
                <w:numId w:val="52"/>
              </w:numPr>
              <w:tabs>
                <w:tab w:pos="328" w:val="left" w:leader="none"/>
              </w:tabs>
              <w:spacing w:line="213" w:lineRule="auto" w:before="12" w:after="0"/>
              <w:ind w:left="327" w:right="459" w:hanging="216"/>
              <w:jc w:val="left"/>
              <w:rPr>
                <w:sz w:val="24"/>
              </w:rPr>
            </w:pPr>
            <w:hyperlink r:id="rId14">
              <w:r>
                <w:rPr>
                  <w:color w:val="0000FF"/>
                  <w:sz w:val="24"/>
                </w:rPr>
                <w:t>USSGL</w:t>
              </w:r>
            </w:hyperlink>
            <w:r>
              <w:rPr>
                <w:sz w:val="24"/>
              </w:rPr>
              <w:t>, Section IV: Account Attributes for USSGL Proprietary</w:t>
            </w:r>
            <w:r>
              <w:rPr>
                <w:spacing w:val="-11"/>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7"/>
                <w:sz w:val="24"/>
              </w:rPr>
              <w:t> </w:t>
            </w:r>
            <w:r>
              <w:rPr>
                <w:sz w:val="24"/>
              </w:rPr>
              <w:t>Reporting;</w:t>
            </w:r>
          </w:p>
          <w:p>
            <w:pPr>
              <w:pStyle w:val="TableParagraph"/>
              <w:numPr>
                <w:ilvl w:val="0"/>
                <w:numId w:val="52"/>
              </w:numPr>
              <w:tabs>
                <w:tab w:pos="328" w:val="left" w:leader="none"/>
              </w:tabs>
              <w:spacing w:line="216" w:lineRule="auto" w:before="3"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r>
        <w:trPr>
          <w:trHeight w:val="1772" w:hRule="atLeast"/>
        </w:trPr>
        <w:tc>
          <w:tcPr>
            <w:tcW w:w="1525" w:type="dxa"/>
          </w:tcPr>
          <w:p>
            <w:pPr>
              <w:pStyle w:val="TableParagraph"/>
              <w:spacing w:line="245" w:lineRule="exact"/>
              <w:ind w:left="107"/>
              <w:rPr>
                <w:sz w:val="24"/>
              </w:rPr>
            </w:pPr>
            <w:r>
              <w:rPr>
                <w:spacing w:val="-4"/>
                <w:sz w:val="24"/>
              </w:rPr>
              <w:t>2.2.5</w:t>
            </w:r>
          </w:p>
        </w:tc>
        <w:tc>
          <w:tcPr>
            <w:tcW w:w="1761" w:type="dxa"/>
          </w:tcPr>
          <w:p>
            <w:pPr>
              <w:pStyle w:val="TableParagraph"/>
              <w:spacing w:line="216" w:lineRule="auto"/>
              <w:ind w:left="108" w:right="584"/>
              <w:rPr>
                <w:sz w:val="24"/>
              </w:rPr>
            </w:pPr>
            <w:r>
              <w:rPr>
                <w:spacing w:val="-2"/>
                <w:sz w:val="24"/>
              </w:rPr>
              <w:t>Managing </w:t>
            </w:r>
            <w:r>
              <w:rPr>
                <w:spacing w:val="-4"/>
                <w:sz w:val="24"/>
              </w:rPr>
              <w:t>Debt</w:t>
            </w:r>
          </w:p>
        </w:tc>
        <w:tc>
          <w:tcPr>
            <w:tcW w:w="1984" w:type="dxa"/>
          </w:tcPr>
          <w:p>
            <w:pPr>
              <w:pStyle w:val="TableParagraph"/>
              <w:spacing w:line="245" w:lineRule="exact"/>
              <w:ind w:left="107"/>
              <w:rPr>
                <w:sz w:val="24"/>
              </w:rPr>
            </w:pPr>
            <w:r>
              <w:rPr>
                <w:spacing w:val="-2"/>
                <w:sz w:val="24"/>
              </w:rPr>
              <w:t>2.2.5.1</w:t>
            </w:r>
          </w:p>
        </w:tc>
        <w:tc>
          <w:tcPr>
            <w:tcW w:w="1534" w:type="dxa"/>
          </w:tcPr>
          <w:p>
            <w:pPr>
              <w:pStyle w:val="TableParagraph"/>
              <w:spacing w:line="245" w:lineRule="exact"/>
              <w:ind w:left="109"/>
              <w:rPr>
                <w:sz w:val="24"/>
              </w:rPr>
            </w:pPr>
            <w:r>
              <w:rPr>
                <w:spacing w:val="-5"/>
                <w:sz w:val="24"/>
              </w:rPr>
              <w:t>DI</w:t>
            </w:r>
          </w:p>
        </w:tc>
        <w:tc>
          <w:tcPr>
            <w:tcW w:w="3834" w:type="dxa"/>
          </w:tcPr>
          <w:p>
            <w:pPr>
              <w:pStyle w:val="TableParagraph"/>
              <w:spacing w:line="216" w:lineRule="auto"/>
              <w:ind w:left="110" w:right="145"/>
              <w:rPr>
                <w:sz w:val="24"/>
              </w:rPr>
            </w:pPr>
            <w:r>
              <w:rPr>
                <w:sz w:val="24"/>
              </w:rPr>
              <w:t>Capture debt category (for example, bankruptcy and at private collection agency) to support</w:t>
            </w:r>
            <w:r>
              <w:rPr>
                <w:spacing w:val="-13"/>
                <w:sz w:val="24"/>
              </w:rPr>
              <w:t> </w:t>
            </w:r>
            <w:r>
              <w:rPr>
                <w:sz w:val="24"/>
              </w:rPr>
              <w:t>debt</w:t>
            </w:r>
            <w:r>
              <w:rPr>
                <w:spacing w:val="-14"/>
                <w:sz w:val="24"/>
              </w:rPr>
              <w:t> </w:t>
            </w:r>
            <w:r>
              <w:rPr>
                <w:sz w:val="24"/>
              </w:rPr>
              <w:t>reporting</w:t>
            </w:r>
            <w:r>
              <w:rPr>
                <w:spacing w:val="-14"/>
                <w:sz w:val="24"/>
              </w:rPr>
              <w:t> </w:t>
            </w:r>
            <w:r>
              <w:rPr>
                <w:sz w:val="24"/>
              </w:rPr>
              <w:t>consistent with the TFM.</w:t>
            </w:r>
          </w:p>
        </w:tc>
        <w:tc>
          <w:tcPr>
            <w:tcW w:w="6628" w:type="dxa"/>
          </w:tcPr>
          <w:p>
            <w:pPr>
              <w:pStyle w:val="TableParagraph"/>
              <w:numPr>
                <w:ilvl w:val="0"/>
                <w:numId w:val="53"/>
              </w:numPr>
              <w:tabs>
                <w:tab w:pos="328" w:val="left" w:leader="none"/>
              </w:tabs>
              <w:spacing w:line="213" w:lineRule="auto" w:before="0" w:after="0"/>
              <w:ind w:left="327" w:right="287" w:hanging="216"/>
              <w:jc w:val="left"/>
              <w:rPr>
                <w:sz w:val="24"/>
              </w:rPr>
            </w:pPr>
            <w:r>
              <w:rPr>
                <w:sz w:val="24"/>
              </w:rPr>
              <w:t>TFM</w:t>
            </w:r>
            <w:r>
              <w:rPr>
                <w:spacing w:val="-3"/>
                <w:sz w:val="24"/>
              </w:rPr>
              <w:t> </w:t>
            </w:r>
            <w:hyperlink r:id="rId64">
              <w:r>
                <w:rPr>
                  <w:color w:val="0000FF"/>
                  <w:sz w:val="24"/>
                </w:rPr>
                <w:t>Volume</w:t>
              </w:r>
              <w:r>
                <w:rPr>
                  <w:color w:val="0000FF"/>
                  <w:spacing w:val="-4"/>
                  <w:sz w:val="24"/>
                </w:rPr>
                <w:t> </w:t>
              </w:r>
              <w:r>
                <w:rPr>
                  <w:color w:val="0000FF"/>
                  <w:sz w:val="24"/>
                </w:rPr>
                <w:t>I,</w:t>
              </w:r>
              <w:r>
                <w:rPr>
                  <w:color w:val="0000FF"/>
                  <w:spacing w:val="-5"/>
                  <w:sz w:val="24"/>
                </w:rPr>
                <w:t> </w:t>
              </w:r>
              <w:r>
                <w:rPr>
                  <w:color w:val="0000FF"/>
                  <w:sz w:val="24"/>
                </w:rPr>
                <w:t>Part</w:t>
              </w:r>
              <w:r>
                <w:rPr>
                  <w:color w:val="0000FF"/>
                  <w:spacing w:val="-6"/>
                  <w:sz w:val="24"/>
                </w:rPr>
                <w:t> </w:t>
              </w:r>
              <w:r>
                <w:rPr>
                  <w:color w:val="0000FF"/>
                  <w:sz w:val="24"/>
                </w:rPr>
                <w:t>3,</w:t>
              </w:r>
              <w:r>
                <w:rPr>
                  <w:color w:val="0000FF"/>
                  <w:spacing w:val="-4"/>
                  <w:sz w:val="24"/>
                </w:rPr>
                <w:t> </w:t>
              </w:r>
              <w:r>
                <w:rPr>
                  <w:color w:val="0000FF"/>
                  <w:sz w:val="24"/>
                </w:rPr>
                <w:t>Chapter</w:t>
              </w:r>
              <w:r>
                <w:rPr>
                  <w:color w:val="0000FF"/>
                  <w:spacing w:val="-5"/>
                  <w:sz w:val="24"/>
                </w:rPr>
                <w:t> </w:t>
              </w:r>
              <w:r>
                <w:rPr>
                  <w:color w:val="0000FF"/>
                  <w:sz w:val="24"/>
                </w:rPr>
                <w:t>7000</w:t>
              </w:r>
            </w:hyperlink>
            <w:r>
              <w:rPr>
                <w:color w:val="0000FF"/>
                <w:spacing w:val="-4"/>
                <w:sz w:val="24"/>
              </w:rPr>
              <w:t> </w:t>
            </w:r>
            <w:r>
              <w:rPr>
                <w:sz w:val="24"/>
              </w:rPr>
              <w:t>Treasury</w:t>
            </w:r>
            <w:r>
              <w:rPr>
                <w:spacing w:val="-4"/>
                <w:sz w:val="24"/>
              </w:rPr>
              <w:t> </w:t>
            </w:r>
            <w:r>
              <w:rPr>
                <w:sz w:val="24"/>
              </w:rPr>
              <w:t>Report</w:t>
            </w:r>
            <w:r>
              <w:rPr>
                <w:spacing w:val="-5"/>
                <w:sz w:val="24"/>
              </w:rPr>
              <w:t> </w:t>
            </w:r>
            <w:r>
              <w:rPr>
                <w:sz w:val="24"/>
              </w:rPr>
              <w:t>on Receivables</w:t>
            </w:r>
            <w:r>
              <w:rPr>
                <w:spacing w:val="-31"/>
                <w:sz w:val="24"/>
              </w:rPr>
              <w:t> </w:t>
            </w:r>
            <w:r>
              <w:rPr>
                <w:sz w:val="24"/>
              </w:rPr>
              <w:t>(TROR);</w:t>
            </w:r>
          </w:p>
          <w:p>
            <w:pPr>
              <w:pStyle w:val="TableParagraph"/>
              <w:numPr>
                <w:ilvl w:val="0"/>
                <w:numId w:val="53"/>
              </w:numPr>
              <w:tabs>
                <w:tab w:pos="328" w:val="left" w:leader="none"/>
              </w:tabs>
              <w:spacing w:line="248" w:lineRule="exact" w:before="4" w:after="0"/>
              <w:ind w:left="327" w:right="247" w:hanging="216"/>
              <w:jc w:val="left"/>
              <w:rPr>
                <w:sz w:val="24"/>
              </w:rPr>
            </w:pPr>
            <w:r>
              <w:rPr>
                <w:sz w:val="24"/>
              </w:rPr>
              <w:t>TFM </w:t>
            </w:r>
            <w:hyperlink r:id="rId64">
              <w:r>
                <w:rPr>
                  <w:color w:val="0000FF"/>
                  <w:sz w:val="24"/>
                </w:rPr>
                <w:t>Volume I, Part 3, Chapter 7000</w:t>
              </w:r>
            </w:hyperlink>
            <w:r>
              <w:rPr>
                <w:color w:val="0000FF"/>
                <w:sz w:val="24"/>
              </w:rPr>
              <w:t> </w:t>
            </w:r>
            <w:r>
              <w:rPr>
                <w:sz w:val="24"/>
              </w:rPr>
              <w:t>Section 7120, Reporting</w:t>
            </w:r>
            <w:r>
              <w:rPr>
                <w:spacing w:val="-8"/>
                <w:sz w:val="24"/>
              </w:rPr>
              <w:t> </w:t>
            </w:r>
            <w:r>
              <w:rPr>
                <w:sz w:val="24"/>
              </w:rPr>
              <w:t>Requirements,</w:t>
            </w:r>
            <w:r>
              <w:rPr>
                <w:spacing w:val="-8"/>
                <w:sz w:val="24"/>
              </w:rPr>
              <w:t> </w:t>
            </w:r>
            <w:r>
              <w:rPr>
                <w:sz w:val="24"/>
              </w:rPr>
              <w:t>and</w:t>
            </w:r>
            <w:r>
              <w:rPr>
                <w:spacing w:val="-9"/>
                <w:sz w:val="24"/>
              </w:rPr>
              <w:t> </w:t>
            </w:r>
            <w:r>
              <w:rPr>
                <w:sz w:val="24"/>
              </w:rPr>
              <w:t>the</w:t>
            </w:r>
            <w:r>
              <w:rPr>
                <w:spacing w:val="-9"/>
                <w:sz w:val="24"/>
              </w:rPr>
              <w:t> </w:t>
            </w:r>
            <w:hyperlink r:id="rId65">
              <w:r>
                <w:rPr>
                  <w:i/>
                  <w:color w:val="0000FF"/>
                  <w:sz w:val="24"/>
                </w:rPr>
                <w:t>Instructional</w:t>
              </w:r>
              <w:r>
                <w:rPr>
                  <w:i/>
                  <w:color w:val="0000FF"/>
                  <w:spacing w:val="-9"/>
                  <w:sz w:val="24"/>
                </w:rPr>
                <w:t> </w:t>
              </w:r>
              <w:r>
                <w:rPr>
                  <w:i/>
                  <w:color w:val="0000FF"/>
                  <w:sz w:val="24"/>
                </w:rPr>
                <w:t>Workbook</w:t>
              </w:r>
            </w:hyperlink>
            <w:r>
              <w:rPr>
                <w:i/>
                <w:color w:val="0000FF"/>
                <w:sz w:val="24"/>
              </w:rPr>
              <w:t> </w:t>
            </w:r>
            <w:hyperlink r:id="rId65">
              <w:r>
                <w:rPr>
                  <w:i/>
                  <w:color w:val="0000FF"/>
                  <w:sz w:val="24"/>
                </w:rPr>
                <w:t>for Preparing the Treasury Report</w:t>
              </w:r>
              <w:r>
                <w:rPr>
                  <w:i/>
                  <w:color w:val="0000FF"/>
                  <w:spacing w:val="-1"/>
                  <w:sz w:val="24"/>
                </w:rPr>
                <w:t> </w:t>
              </w:r>
              <w:r>
                <w:rPr>
                  <w:i/>
                  <w:color w:val="0000FF"/>
                  <w:sz w:val="24"/>
                </w:rPr>
                <w:t>on</w:t>
              </w:r>
            </w:hyperlink>
            <w:r>
              <w:rPr>
                <w:i/>
                <w:color w:val="0000FF"/>
                <w:sz w:val="24"/>
              </w:rPr>
              <w:t> </w:t>
            </w:r>
            <w:hyperlink r:id="rId65">
              <w:r>
                <w:rPr>
                  <w:i/>
                  <w:color w:val="0000FF"/>
                  <w:sz w:val="24"/>
                </w:rPr>
                <w:t>Receivables and</w:t>
              </w:r>
            </w:hyperlink>
            <w:r>
              <w:rPr>
                <w:i/>
                <w:color w:val="0000FF"/>
                <w:sz w:val="24"/>
              </w:rPr>
              <w:t> </w:t>
            </w:r>
            <w:hyperlink r:id="rId65">
              <w:r>
                <w:rPr>
                  <w:i/>
                  <w:color w:val="0000FF"/>
                  <w:sz w:val="24"/>
                </w:rPr>
                <w:t>Debt Collection Activities, Parts I and II</w:t>
              </w:r>
            </w:hyperlink>
            <w:r>
              <w:rPr>
                <w:i/>
                <w:color w:val="0000FF"/>
                <w:sz w:val="24"/>
              </w:rPr>
              <w:t> </w:t>
            </w:r>
            <w:r>
              <w:rPr>
                <w:sz w:val="24"/>
              </w:rPr>
              <w:t>referenced </w:t>
            </w:r>
            <w:r>
              <w:rPr>
                <w:spacing w:val="-2"/>
                <w:sz w:val="24"/>
              </w:rPr>
              <w:t>therein.</w:t>
            </w:r>
          </w:p>
        </w:tc>
      </w:tr>
    </w:tbl>
    <w:p>
      <w:pPr>
        <w:spacing w:after="0" w:line="248" w:lineRule="exact"/>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796" w:hRule="atLeast"/>
        </w:trPr>
        <w:tc>
          <w:tcPr>
            <w:tcW w:w="1525" w:type="dxa"/>
            <w:vMerge w:val="restart"/>
          </w:tcPr>
          <w:p>
            <w:pPr>
              <w:pStyle w:val="TableParagraph"/>
              <w:ind w:left="0"/>
              <w:rPr>
                <w:rFonts w:ascii="Times New Roman"/>
                <w:sz w:val="22"/>
              </w:rPr>
            </w:pPr>
          </w:p>
        </w:tc>
        <w:tc>
          <w:tcPr>
            <w:tcW w:w="1761" w:type="dxa"/>
            <w:vMerge w:val="restart"/>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2.2.5.2</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161"/>
              <w:rPr>
                <w:sz w:val="24"/>
              </w:rPr>
            </w:pPr>
            <w:r>
              <w:rPr>
                <w:sz w:val="24"/>
              </w:rPr>
              <w:t>Match delinquent debtor information with payment recipient information within and between federal agencies to affect administrative debt offsets (for example, by administrative wage garnishment and request for paying agency to collect the offset)</w:t>
            </w:r>
            <w:r>
              <w:rPr>
                <w:spacing w:val="-8"/>
                <w:sz w:val="24"/>
              </w:rPr>
              <w:t> </w:t>
            </w:r>
            <w:r>
              <w:rPr>
                <w:sz w:val="24"/>
              </w:rPr>
              <w:t>as</w:t>
            </w:r>
            <w:r>
              <w:rPr>
                <w:spacing w:val="-7"/>
                <w:sz w:val="24"/>
              </w:rPr>
              <w:t> </w:t>
            </w:r>
            <w:r>
              <w:rPr>
                <w:sz w:val="24"/>
              </w:rPr>
              <w:t>required</w:t>
            </w:r>
            <w:r>
              <w:rPr>
                <w:spacing w:val="-7"/>
                <w:sz w:val="24"/>
              </w:rPr>
              <w:t> </w:t>
            </w:r>
            <w:r>
              <w:rPr>
                <w:sz w:val="24"/>
              </w:rPr>
              <w:t>by</w:t>
            </w:r>
            <w:r>
              <w:rPr>
                <w:spacing w:val="-6"/>
                <w:sz w:val="24"/>
              </w:rPr>
              <w:t> </w:t>
            </w:r>
            <w:r>
              <w:rPr>
                <w:sz w:val="24"/>
              </w:rPr>
              <w:t>the</w:t>
            </w:r>
            <w:r>
              <w:rPr>
                <w:spacing w:val="-7"/>
                <w:sz w:val="24"/>
              </w:rPr>
              <w:t> </w:t>
            </w:r>
            <w:r>
              <w:rPr>
                <w:sz w:val="24"/>
              </w:rPr>
              <w:t>CFR</w:t>
            </w:r>
            <w:r>
              <w:rPr>
                <w:spacing w:val="-7"/>
                <w:sz w:val="24"/>
              </w:rPr>
              <w:t> </w:t>
            </w:r>
            <w:r>
              <w:rPr>
                <w:sz w:val="24"/>
              </w:rPr>
              <w:t>as well as OMB Circular No. A-129, and consistent with the TFM.</w:t>
            </w:r>
          </w:p>
        </w:tc>
        <w:tc>
          <w:tcPr>
            <w:tcW w:w="6628" w:type="dxa"/>
          </w:tcPr>
          <w:p>
            <w:pPr>
              <w:pStyle w:val="TableParagraph"/>
              <w:numPr>
                <w:ilvl w:val="0"/>
                <w:numId w:val="54"/>
              </w:numPr>
              <w:tabs>
                <w:tab w:pos="328" w:val="left" w:leader="none"/>
              </w:tabs>
              <w:spacing w:line="216" w:lineRule="auto" w:before="0" w:after="0"/>
              <w:ind w:left="327" w:right="287" w:hanging="216"/>
              <w:jc w:val="left"/>
              <w:rPr>
                <w:sz w:val="24"/>
              </w:rPr>
            </w:pPr>
            <w:r>
              <w:rPr>
                <w:sz w:val="24"/>
              </w:rPr>
              <w:t>TFM</w:t>
            </w:r>
            <w:r>
              <w:rPr>
                <w:spacing w:val="-3"/>
                <w:sz w:val="24"/>
              </w:rPr>
              <w:t> </w:t>
            </w:r>
            <w:hyperlink r:id="rId64">
              <w:r>
                <w:rPr>
                  <w:color w:val="0000FF"/>
                  <w:sz w:val="24"/>
                </w:rPr>
                <w:t>Volume</w:t>
              </w:r>
              <w:r>
                <w:rPr>
                  <w:color w:val="0000FF"/>
                  <w:spacing w:val="-4"/>
                  <w:sz w:val="24"/>
                </w:rPr>
                <w:t> </w:t>
              </w:r>
              <w:r>
                <w:rPr>
                  <w:color w:val="0000FF"/>
                  <w:sz w:val="24"/>
                </w:rPr>
                <w:t>I,</w:t>
              </w:r>
              <w:r>
                <w:rPr>
                  <w:color w:val="0000FF"/>
                  <w:spacing w:val="-5"/>
                  <w:sz w:val="24"/>
                </w:rPr>
                <w:t> </w:t>
              </w:r>
              <w:r>
                <w:rPr>
                  <w:color w:val="0000FF"/>
                  <w:sz w:val="24"/>
                </w:rPr>
                <w:t>Part</w:t>
              </w:r>
              <w:r>
                <w:rPr>
                  <w:color w:val="0000FF"/>
                  <w:spacing w:val="-6"/>
                  <w:sz w:val="24"/>
                </w:rPr>
                <w:t> </w:t>
              </w:r>
              <w:r>
                <w:rPr>
                  <w:color w:val="0000FF"/>
                  <w:sz w:val="24"/>
                </w:rPr>
                <w:t>3,</w:t>
              </w:r>
              <w:r>
                <w:rPr>
                  <w:color w:val="0000FF"/>
                  <w:spacing w:val="-4"/>
                  <w:sz w:val="24"/>
                </w:rPr>
                <w:t> </w:t>
              </w:r>
              <w:r>
                <w:rPr>
                  <w:color w:val="0000FF"/>
                  <w:sz w:val="24"/>
                </w:rPr>
                <w:t>Chapter</w:t>
              </w:r>
              <w:r>
                <w:rPr>
                  <w:color w:val="0000FF"/>
                  <w:spacing w:val="-5"/>
                  <w:sz w:val="24"/>
                </w:rPr>
                <w:t> </w:t>
              </w:r>
              <w:r>
                <w:rPr>
                  <w:color w:val="0000FF"/>
                  <w:sz w:val="24"/>
                </w:rPr>
                <w:t>7000</w:t>
              </w:r>
            </w:hyperlink>
            <w:r>
              <w:rPr>
                <w:color w:val="0000FF"/>
                <w:spacing w:val="-4"/>
                <w:sz w:val="24"/>
              </w:rPr>
              <w:t> </w:t>
            </w:r>
            <w:r>
              <w:rPr>
                <w:sz w:val="24"/>
              </w:rPr>
              <w:t>Treasury</w:t>
            </w:r>
            <w:r>
              <w:rPr>
                <w:spacing w:val="-4"/>
                <w:sz w:val="24"/>
              </w:rPr>
              <w:t> </w:t>
            </w:r>
            <w:r>
              <w:rPr>
                <w:sz w:val="24"/>
              </w:rPr>
              <w:t>Report</w:t>
            </w:r>
            <w:r>
              <w:rPr>
                <w:spacing w:val="-5"/>
                <w:sz w:val="24"/>
              </w:rPr>
              <w:t> </w:t>
            </w:r>
            <w:r>
              <w:rPr>
                <w:sz w:val="24"/>
              </w:rPr>
              <w:t>on Receivables</w:t>
            </w:r>
            <w:r>
              <w:rPr>
                <w:spacing w:val="-31"/>
                <w:sz w:val="24"/>
              </w:rPr>
              <w:t> </w:t>
            </w:r>
            <w:r>
              <w:rPr>
                <w:sz w:val="24"/>
              </w:rPr>
              <w:t>(TROR);</w:t>
            </w:r>
          </w:p>
          <w:p>
            <w:pPr>
              <w:pStyle w:val="TableParagraph"/>
              <w:numPr>
                <w:ilvl w:val="0"/>
                <w:numId w:val="54"/>
              </w:numPr>
              <w:tabs>
                <w:tab w:pos="328" w:val="left" w:leader="none"/>
              </w:tabs>
              <w:spacing w:line="216" w:lineRule="auto" w:before="0" w:after="0"/>
              <w:ind w:left="327" w:right="247" w:hanging="216"/>
              <w:jc w:val="left"/>
              <w:rPr>
                <w:sz w:val="24"/>
              </w:rPr>
            </w:pPr>
            <w:r>
              <w:rPr>
                <w:sz w:val="24"/>
              </w:rPr>
              <w:t>TFM </w:t>
            </w:r>
            <w:hyperlink r:id="rId64">
              <w:r>
                <w:rPr>
                  <w:color w:val="0000FF"/>
                  <w:sz w:val="24"/>
                </w:rPr>
                <w:t>Volume I, Part 3, Chapter 7000</w:t>
              </w:r>
            </w:hyperlink>
            <w:r>
              <w:rPr>
                <w:color w:val="0000FF"/>
                <w:sz w:val="24"/>
              </w:rPr>
              <w:t> </w:t>
            </w:r>
            <w:r>
              <w:rPr>
                <w:sz w:val="24"/>
              </w:rPr>
              <w:t>Section 7120, Reporting</w:t>
            </w:r>
            <w:r>
              <w:rPr>
                <w:spacing w:val="-8"/>
                <w:sz w:val="24"/>
              </w:rPr>
              <w:t> </w:t>
            </w:r>
            <w:r>
              <w:rPr>
                <w:sz w:val="24"/>
              </w:rPr>
              <w:t>Requirements,</w:t>
            </w:r>
            <w:r>
              <w:rPr>
                <w:spacing w:val="-8"/>
                <w:sz w:val="24"/>
              </w:rPr>
              <w:t> </w:t>
            </w:r>
            <w:r>
              <w:rPr>
                <w:sz w:val="24"/>
              </w:rPr>
              <w:t>and</w:t>
            </w:r>
            <w:r>
              <w:rPr>
                <w:spacing w:val="-9"/>
                <w:sz w:val="24"/>
              </w:rPr>
              <w:t> </w:t>
            </w:r>
            <w:r>
              <w:rPr>
                <w:sz w:val="24"/>
              </w:rPr>
              <w:t>the</w:t>
            </w:r>
            <w:r>
              <w:rPr>
                <w:spacing w:val="-9"/>
                <w:sz w:val="24"/>
              </w:rPr>
              <w:t> </w:t>
            </w:r>
            <w:hyperlink r:id="rId65">
              <w:r>
                <w:rPr>
                  <w:i/>
                  <w:color w:val="0000FF"/>
                  <w:sz w:val="24"/>
                </w:rPr>
                <w:t>Instructional</w:t>
              </w:r>
              <w:r>
                <w:rPr>
                  <w:i/>
                  <w:color w:val="0000FF"/>
                  <w:spacing w:val="-9"/>
                  <w:sz w:val="24"/>
                </w:rPr>
                <w:t> </w:t>
              </w:r>
              <w:r>
                <w:rPr>
                  <w:i/>
                  <w:color w:val="0000FF"/>
                  <w:sz w:val="24"/>
                </w:rPr>
                <w:t>Workbook</w:t>
              </w:r>
            </w:hyperlink>
            <w:r>
              <w:rPr>
                <w:i/>
                <w:color w:val="0000FF"/>
                <w:sz w:val="24"/>
              </w:rPr>
              <w:t> </w:t>
            </w:r>
            <w:hyperlink r:id="rId65">
              <w:r>
                <w:rPr>
                  <w:i/>
                  <w:color w:val="0000FF"/>
                  <w:sz w:val="24"/>
                </w:rPr>
                <w:t>for Preparing the Treasury Report on</w:t>
              </w:r>
            </w:hyperlink>
            <w:r>
              <w:rPr>
                <w:i/>
                <w:color w:val="0000FF"/>
                <w:sz w:val="24"/>
              </w:rPr>
              <w:t> </w:t>
            </w:r>
            <w:hyperlink r:id="rId65">
              <w:r>
                <w:rPr>
                  <w:i/>
                  <w:color w:val="0000FF"/>
                  <w:sz w:val="24"/>
                </w:rPr>
                <w:t>Receivables and</w:t>
              </w:r>
            </w:hyperlink>
            <w:r>
              <w:rPr>
                <w:i/>
                <w:color w:val="0000FF"/>
                <w:sz w:val="24"/>
              </w:rPr>
              <w:t> </w:t>
            </w:r>
            <w:hyperlink r:id="rId65">
              <w:r>
                <w:rPr>
                  <w:i/>
                  <w:color w:val="0000FF"/>
                  <w:sz w:val="24"/>
                </w:rPr>
                <w:t>Debt Collection Activities, Part II</w:t>
              </w:r>
            </w:hyperlink>
            <w:r>
              <w:rPr>
                <w:i/>
                <w:color w:val="0000FF"/>
                <w:sz w:val="24"/>
              </w:rPr>
              <w:t> </w:t>
            </w:r>
            <w:r>
              <w:rPr>
                <w:sz w:val="24"/>
              </w:rPr>
              <w:t>referenced</w:t>
            </w:r>
            <w:r>
              <w:rPr>
                <w:spacing w:val="-2"/>
                <w:sz w:val="24"/>
              </w:rPr>
              <w:t> </w:t>
            </w:r>
            <w:r>
              <w:rPr>
                <w:sz w:val="24"/>
              </w:rPr>
              <w:t>therein;</w:t>
            </w:r>
          </w:p>
          <w:p>
            <w:pPr>
              <w:pStyle w:val="TableParagraph"/>
              <w:numPr>
                <w:ilvl w:val="0"/>
                <w:numId w:val="54"/>
              </w:numPr>
              <w:tabs>
                <w:tab w:pos="328" w:val="left" w:leader="none"/>
              </w:tabs>
              <w:spacing w:line="216" w:lineRule="auto" w:before="0" w:after="0"/>
              <w:ind w:left="327" w:right="554" w:hanging="216"/>
              <w:jc w:val="left"/>
              <w:rPr>
                <w:sz w:val="24"/>
              </w:rPr>
            </w:pPr>
            <w:hyperlink r:id="rId41">
              <w:r>
                <w:rPr>
                  <w:color w:val="0000FF"/>
                  <w:sz w:val="24"/>
                </w:rPr>
                <w:t>OMB</w:t>
              </w:r>
            </w:hyperlink>
            <w:r>
              <w:rPr>
                <w:color w:val="0000FF"/>
                <w:sz w:val="24"/>
              </w:rPr>
              <w:t> </w:t>
            </w:r>
            <w:r>
              <w:rPr>
                <w:sz w:val="24"/>
              </w:rPr>
              <w:t>Circular No. A-129, Policies for Federal Credit Programs and Non-Tax Receivables, Appendix A, Program</w:t>
            </w:r>
            <w:r>
              <w:rPr>
                <w:spacing w:val="-7"/>
                <w:sz w:val="24"/>
              </w:rPr>
              <w:t> </w:t>
            </w:r>
            <w:r>
              <w:rPr>
                <w:sz w:val="24"/>
              </w:rPr>
              <w:t>Reviews,</w:t>
            </w:r>
            <w:r>
              <w:rPr>
                <w:spacing w:val="-6"/>
                <w:sz w:val="24"/>
              </w:rPr>
              <w:t> </w:t>
            </w:r>
            <w:r>
              <w:rPr>
                <w:sz w:val="24"/>
              </w:rPr>
              <w:t>Part</w:t>
            </w:r>
            <w:r>
              <w:rPr>
                <w:spacing w:val="-6"/>
                <w:sz w:val="24"/>
              </w:rPr>
              <w:t> </w:t>
            </w:r>
            <w:r>
              <w:rPr>
                <w:sz w:val="24"/>
              </w:rPr>
              <w:t>V,</w:t>
            </w:r>
            <w:r>
              <w:rPr>
                <w:spacing w:val="-8"/>
                <w:sz w:val="24"/>
              </w:rPr>
              <w:t> </w:t>
            </w:r>
            <w:r>
              <w:rPr>
                <w:sz w:val="24"/>
              </w:rPr>
              <w:t>Delinquent</w:t>
            </w:r>
            <w:r>
              <w:rPr>
                <w:spacing w:val="-7"/>
                <w:sz w:val="24"/>
              </w:rPr>
              <w:t> </w:t>
            </w:r>
            <w:r>
              <w:rPr>
                <w:sz w:val="24"/>
              </w:rPr>
              <w:t>Debt</w:t>
            </w:r>
            <w:r>
              <w:rPr>
                <w:spacing w:val="-7"/>
                <w:sz w:val="24"/>
              </w:rPr>
              <w:t> </w:t>
            </w:r>
            <w:r>
              <w:rPr>
                <w:sz w:val="24"/>
              </w:rPr>
              <w:t>Collection;</w:t>
            </w:r>
          </w:p>
          <w:p>
            <w:pPr>
              <w:pStyle w:val="TableParagraph"/>
              <w:numPr>
                <w:ilvl w:val="0"/>
                <w:numId w:val="54"/>
              </w:numPr>
              <w:tabs>
                <w:tab w:pos="328" w:val="left" w:leader="none"/>
              </w:tabs>
              <w:spacing w:line="248" w:lineRule="exact" w:before="0" w:after="0"/>
              <w:ind w:left="327" w:right="193" w:hanging="216"/>
              <w:jc w:val="left"/>
              <w:rPr>
                <w:sz w:val="24"/>
              </w:rPr>
            </w:pPr>
            <w:hyperlink r:id="rId66">
              <w:r>
                <w:rPr>
                  <w:color w:val="0000FF"/>
                  <w:sz w:val="24"/>
                </w:rPr>
                <w:t>4</w:t>
              </w:r>
              <w:r>
                <w:rPr>
                  <w:color w:val="0000FF"/>
                  <w:spacing w:val="-5"/>
                  <w:sz w:val="24"/>
                </w:rPr>
                <w:t> </w:t>
              </w:r>
              <w:r>
                <w:rPr>
                  <w:color w:val="0000FF"/>
                  <w:sz w:val="24"/>
                </w:rPr>
                <w:t>CFR</w:t>
              </w:r>
              <w:r>
                <w:rPr>
                  <w:color w:val="0000FF"/>
                  <w:spacing w:val="-6"/>
                  <w:sz w:val="24"/>
                </w:rPr>
                <w:t> </w:t>
              </w:r>
              <w:r>
                <w:rPr>
                  <w:color w:val="0000FF"/>
                  <w:sz w:val="24"/>
                </w:rPr>
                <w:t>102</w:t>
              </w:r>
            </w:hyperlink>
            <w:r>
              <w:rPr>
                <w:sz w:val="24"/>
              </w:rPr>
              <w:t>,</w:t>
            </w:r>
            <w:r>
              <w:rPr>
                <w:spacing w:val="-4"/>
                <w:sz w:val="24"/>
              </w:rPr>
              <w:t> </w:t>
            </w:r>
            <w:r>
              <w:rPr>
                <w:sz w:val="24"/>
              </w:rPr>
              <w:t>Standards</w:t>
            </w:r>
            <w:r>
              <w:rPr>
                <w:spacing w:val="-5"/>
                <w:sz w:val="24"/>
              </w:rPr>
              <w:t> </w:t>
            </w:r>
            <w:r>
              <w:rPr>
                <w:sz w:val="24"/>
              </w:rPr>
              <w:t>for</w:t>
            </w:r>
            <w:r>
              <w:rPr>
                <w:spacing w:val="-5"/>
                <w:sz w:val="24"/>
              </w:rPr>
              <w:t> </w:t>
            </w:r>
            <w:r>
              <w:rPr>
                <w:sz w:val="24"/>
              </w:rPr>
              <w:t>the</w:t>
            </w:r>
            <w:r>
              <w:rPr>
                <w:spacing w:val="-5"/>
                <w:sz w:val="24"/>
              </w:rPr>
              <w:t> </w:t>
            </w:r>
            <w:r>
              <w:rPr>
                <w:sz w:val="24"/>
              </w:rPr>
              <w:t>Administrative</w:t>
            </w:r>
            <w:r>
              <w:rPr>
                <w:spacing w:val="-5"/>
                <w:sz w:val="24"/>
              </w:rPr>
              <w:t> </w:t>
            </w:r>
            <w:r>
              <w:rPr>
                <w:sz w:val="24"/>
              </w:rPr>
              <w:t>Collection</w:t>
            </w:r>
            <w:r>
              <w:rPr>
                <w:spacing w:val="-5"/>
                <w:sz w:val="24"/>
              </w:rPr>
              <w:t> </w:t>
            </w:r>
            <w:r>
              <w:rPr>
                <w:sz w:val="24"/>
              </w:rPr>
              <w:t>of </w:t>
            </w:r>
            <w:r>
              <w:rPr>
                <w:spacing w:val="-2"/>
                <w:sz w:val="24"/>
              </w:rPr>
              <w:t>Claims.</w:t>
            </w:r>
          </w:p>
        </w:tc>
      </w:tr>
      <w:tr>
        <w:trPr>
          <w:trHeight w:val="1490"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5" w:lineRule="exact"/>
              <w:ind w:left="107"/>
              <w:rPr>
                <w:sz w:val="24"/>
              </w:rPr>
            </w:pPr>
            <w:r>
              <w:rPr>
                <w:spacing w:val="-2"/>
                <w:sz w:val="24"/>
              </w:rPr>
              <w:t>2.2.5.3</w:t>
            </w:r>
          </w:p>
        </w:tc>
        <w:tc>
          <w:tcPr>
            <w:tcW w:w="1534" w:type="dxa"/>
          </w:tcPr>
          <w:p>
            <w:pPr>
              <w:pStyle w:val="TableParagraph"/>
              <w:spacing w:line="245" w:lineRule="exact"/>
              <w:ind w:left="109"/>
              <w:rPr>
                <w:sz w:val="24"/>
              </w:rPr>
            </w:pPr>
            <w:r>
              <w:rPr>
                <w:sz w:val="24"/>
              </w:rPr>
              <w:t>P</w:t>
            </w:r>
          </w:p>
        </w:tc>
        <w:tc>
          <w:tcPr>
            <w:tcW w:w="3834" w:type="dxa"/>
          </w:tcPr>
          <w:p>
            <w:pPr>
              <w:pStyle w:val="TableParagraph"/>
              <w:spacing w:line="216" w:lineRule="auto"/>
              <w:ind w:left="110" w:right="145"/>
              <w:rPr>
                <w:sz w:val="24"/>
              </w:rPr>
            </w:pPr>
            <w:r>
              <w:rPr>
                <w:sz w:val="24"/>
              </w:rPr>
              <w:t>Determine allocation of amounts collected (for example, first to penalties and administrative costs, second to interest, then to accounts</w:t>
            </w:r>
            <w:r>
              <w:rPr>
                <w:spacing w:val="-13"/>
                <w:sz w:val="24"/>
              </w:rPr>
              <w:t> </w:t>
            </w:r>
            <w:r>
              <w:rPr>
                <w:sz w:val="24"/>
              </w:rPr>
              <w:t>receivable)</w:t>
            </w:r>
            <w:r>
              <w:rPr>
                <w:spacing w:val="-13"/>
                <w:sz w:val="24"/>
              </w:rPr>
              <w:t> </w:t>
            </w:r>
            <w:r>
              <w:rPr>
                <w:sz w:val="24"/>
              </w:rPr>
              <w:t>as</w:t>
            </w:r>
            <w:r>
              <w:rPr>
                <w:spacing w:val="-13"/>
                <w:sz w:val="24"/>
              </w:rPr>
              <w:t> </w:t>
            </w:r>
            <w:r>
              <w:rPr>
                <w:sz w:val="24"/>
              </w:rPr>
              <w:t>specified</w:t>
            </w:r>
          </w:p>
          <w:p>
            <w:pPr>
              <w:pStyle w:val="TableParagraph"/>
              <w:spacing w:line="237" w:lineRule="exact"/>
              <w:ind w:left="110"/>
              <w:rPr>
                <w:sz w:val="24"/>
              </w:rPr>
            </w:pPr>
            <w:r>
              <w:rPr>
                <w:sz w:val="24"/>
              </w:rPr>
              <w:t>in</w:t>
            </w:r>
            <w:r>
              <w:rPr>
                <w:spacing w:val="-1"/>
                <w:sz w:val="24"/>
              </w:rPr>
              <w:t> </w:t>
            </w:r>
            <w:r>
              <w:rPr>
                <w:sz w:val="24"/>
              </w:rPr>
              <w:t>the</w:t>
            </w:r>
            <w:r>
              <w:rPr>
                <w:spacing w:val="-1"/>
                <w:sz w:val="24"/>
              </w:rPr>
              <w:t> </w:t>
            </w:r>
            <w:r>
              <w:rPr>
                <w:spacing w:val="-4"/>
                <w:sz w:val="24"/>
              </w:rPr>
              <w:t>CFR.</w:t>
            </w:r>
          </w:p>
        </w:tc>
        <w:tc>
          <w:tcPr>
            <w:tcW w:w="6628" w:type="dxa"/>
          </w:tcPr>
          <w:p>
            <w:pPr>
              <w:pStyle w:val="TableParagraph"/>
              <w:numPr>
                <w:ilvl w:val="0"/>
                <w:numId w:val="55"/>
              </w:numPr>
              <w:tabs>
                <w:tab w:pos="328" w:val="left" w:leader="none"/>
              </w:tabs>
              <w:spacing w:line="213" w:lineRule="auto" w:before="0" w:after="0"/>
              <w:ind w:left="327" w:right="193" w:hanging="216"/>
              <w:jc w:val="both"/>
              <w:rPr>
                <w:sz w:val="24"/>
              </w:rPr>
            </w:pPr>
            <w:hyperlink r:id="rId66">
              <w:r>
                <w:rPr>
                  <w:color w:val="0000FF"/>
                  <w:sz w:val="24"/>
                </w:rPr>
                <w:t>4</w:t>
              </w:r>
              <w:r>
                <w:rPr>
                  <w:color w:val="0000FF"/>
                  <w:spacing w:val="-6"/>
                  <w:sz w:val="24"/>
                </w:rPr>
                <w:t> </w:t>
              </w:r>
              <w:r>
                <w:rPr>
                  <w:color w:val="0000FF"/>
                  <w:sz w:val="24"/>
                </w:rPr>
                <w:t>CFR</w:t>
              </w:r>
              <w:r>
                <w:rPr>
                  <w:color w:val="0000FF"/>
                  <w:spacing w:val="-6"/>
                  <w:sz w:val="24"/>
                </w:rPr>
                <w:t> </w:t>
              </w:r>
              <w:r>
                <w:rPr>
                  <w:color w:val="0000FF"/>
                  <w:sz w:val="24"/>
                </w:rPr>
                <w:t>102</w:t>
              </w:r>
            </w:hyperlink>
            <w:r>
              <w:rPr>
                <w:sz w:val="24"/>
              </w:rPr>
              <w:t>,</w:t>
            </w:r>
            <w:r>
              <w:rPr>
                <w:spacing w:val="-4"/>
                <w:sz w:val="24"/>
              </w:rPr>
              <w:t> </w:t>
            </w:r>
            <w:r>
              <w:rPr>
                <w:sz w:val="24"/>
              </w:rPr>
              <w:t>Standards</w:t>
            </w:r>
            <w:r>
              <w:rPr>
                <w:spacing w:val="-6"/>
                <w:sz w:val="24"/>
              </w:rPr>
              <w:t> </w:t>
            </w:r>
            <w:r>
              <w:rPr>
                <w:sz w:val="24"/>
              </w:rPr>
              <w:t>for</w:t>
            </w:r>
            <w:r>
              <w:rPr>
                <w:spacing w:val="-6"/>
                <w:sz w:val="24"/>
              </w:rPr>
              <w:t> </w:t>
            </w:r>
            <w:r>
              <w:rPr>
                <w:sz w:val="24"/>
              </w:rPr>
              <w:t>the</w:t>
            </w:r>
            <w:r>
              <w:rPr>
                <w:spacing w:val="-6"/>
                <w:sz w:val="24"/>
              </w:rPr>
              <w:t> </w:t>
            </w:r>
            <w:r>
              <w:rPr>
                <w:sz w:val="24"/>
              </w:rPr>
              <w:t>Administrative</w:t>
            </w:r>
            <w:r>
              <w:rPr>
                <w:spacing w:val="-6"/>
                <w:sz w:val="24"/>
              </w:rPr>
              <w:t> </w:t>
            </w:r>
            <w:r>
              <w:rPr>
                <w:sz w:val="24"/>
              </w:rPr>
              <w:t>Collection</w:t>
            </w:r>
            <w:r>
              <w:rPr>
                <w:spacing w:val="-6"/>
                <w:sz w:val="24"/>
              </w:rPr>
              <w:t> </w:t>
            </w:r>
            <w:r>
              <w:rPr>
                <w:sz w:val="24"/>
              </w:rPr>
              <w:t>of </w:t>
            </w:r>
            <w:r>
              <w:rPr>
                <w:spacing w:val="-2"/>
                <w:sz w:val="24"/>
              </w:rPr>
              <w:t>Claims;</w:t>
            </w:r>
          </w:p>
          <w:p>
            <w:pPr>
              <w:pStyle w:val="TableParagraph"/>
              <w:numPr>
                <w:ilvl w:val="0"/>
                <w:numId w:val="55"/>
              </w:numPr>
              <w:tabs>
                <w:tab w:pos="328" w:val="left" w:leader="none"/>
              </w:tabs>
              <w:spacing w:line="216" w:lineRule="auto" w:before="0" w:after="0"/>
              <w:ind w:left="327" w:right="193" w:hanging="216"/>
              <w:jc w:val="both"/>
              <w:rPr>
                <w:sz w:val="24"/>
              </w:rPr>
            </w:pPr>
            <w:hyperlink r:id="rId66">
              <w:r>
                <w:rPr>
                  <w:color w:val="0000FF"/>
                  <w:sz w:val="24"/>
                </w:rPr>
                <w:t>4</w:t>
              </w:r>
              <w:r>
                <w:rPr>
                  <w:color w:val="0000FF"/>
                  <w:spacing w:val="-6"/>
                  <w:sz w:val="24"/>
                </w:rPr>
                <w:t> </w:t>
              </w:r>
              <w:r>
                <w:rPr>
                  <w:color w:val="0000FF"/>
                  <w:sz w:val="24"/>
                </w:rPr>
                <w:t>CFR</w:t>
              </w:r>
              <w:r>
                <w:rPr>
                  <w:color w:val="0000FF"/>
                  <w:spacing w:val="-6"/>
                  <w:sz w:val="24"/>
                </w:rPr>
                <w:t> </w:t>
              </w:r>
              <w:r>
                <w:rPr>
                  <w:color w:val="0000FF"/>
                  <w:sz w:val="24"/>
                </w:rPr>
                <w:t>102</w:t>
              </w:r>
            </w:hyperlink>
            <w:r>
              <w:rPr>
                <w:sz w:val="24"/>
              </w:rPr>
              <w:t>,</w:t>
            </w:r>
            <w:r>
              <w:rPr>
                <w:spacing w:val="-4"/>
                <w:sz w:val="24"/>
              </w:rPr>
              <w:t> </w:t>
            </w:r>
            <w:r>
              <w:rPr>
                <w:sz w:val="24"/>
              </w:rPr>
              <w:t>Standards</w:t>
            </w:r>
            <w:r>
              <w:rPr>
                <w:spacing w:val="-6"/>
                <w:sz w:val="24"/>
              </w:rPr>
              <w:t> </w:t>
            </w:r>
            <w:r>
              <w:rPr>
                <w:sz w:val="24"/>
              </w:rPr>
              <w:t>for</w:t>
            </w:r>
            <w:r>
              <w:rPr>
                <w:spacing w:val="-6"/>
                <w:sz w:val="24"/>
              </w:rPr>
              <w:t> </w:t>
            </w:r>
            <w:r>
              <w:rPr>
                <w:sz w:val="24"/>
              </w:rPr>
              <w:t>the</w:t>
            </w:r>
            <w:r>
              <w:rPr>
                <w:spacing w:val="-6"/>
                <w:sz w:val="24"/>
              </w:rPr>
              <w:t> </w:t>
            </w:r>
            <w:r>
              <w:rPr>
                <w:sz w:val="24"/>
              </w:rPr>
              <w:t>Administrative</w:t>
            </w:r>
            <w:r>
              <w:rPr>
                <w:spacing w:val="-6"/>
                <w:sz w:val="24"/>
              </w:rPr>
              <w:t> </w:t>
            </w:r>
            <w:r>
              <w:rPr>
                <w:sz w:val="24"/>
              </w:rPr>
              <w:t>Collection</w:t>
            </w:r>
            <w:r>
              <w:rPr>
                <w:spacing w:val="-6"/>
                <w:sz w:val="24"/>
              </w:rPr>
              <w:t> </w:t>
            </w:r>
            <w:r>
              <w:rPr>
                <w:sz w:val="24"/>
              </w:rPr>
              <w:t>of Claims,</w:t>
            </w:r>
            <w:r>
              <w:rPr>
                <w:spacing w:val="-6"/>
                <w:sz w:val="24"/>
              </w:rPr>
              <w:t> </w:t>
            </w:r>
            <w:r>
              <w:rPr>
                <w:sz w:val="24"/>
              </w:rPr>
              <w:t>Section</w:t>
            </w:r>
            <w:r>
              <w:rPr>
                <w:spacing w:val="-7"/>
                <w:sz w:val="24"/>
              </w:rPr>
              <w:t> </w:t>
            </w:r>
            <w:r>
              <w:rPr>
                <w:sz w:val="24"/>
              </w:rPr>
              <w:t>13</w:t>
            </w:r>
            <w:r>
              <w:rPr>
                <w:spacing w:val="-7"/>
                <w:sz w:val="24"/>
              </w:rPr>
              <w:t> </w:t>
            </w:r>
            <w:r>
              <w:rPr>
                <w:sz w:val="24"/>
              </w:rPr>
              <w:t>Interest,</w:t>
            </w:r>
            <w:r>
              <w:rPr>
                <w:spacing w:val="-6"/>
                <w:sz w:val="24"/>
              </w:rPr>
              <w:t> </w:t>
            </w:r>
            <w:r>
              <w:rPr>
                <w:sz w:val="24"/>
              </w:rPr>
              <w:t>Penalties,</w:t>
            </w:r>
            <w:r>
              <w:rPr>
                <w:spacing w:val="-6"/>
                <w:sz w:val="24"/>
              </w:rPr>
              <w:t> </w:t>
            </w:r>
            <w:r>
              <w:rPr>
                <w:sz w:val="24"/>
              </w:rPr>
              <w:t>and</w:t>
            </w:r>
            <w:r>
              <w:rPr>
                <w:spacing w:val="-7"/>
                <w:sz w:val="24"/>
              </w:rPr>
              <w:t> </w:t>
            </w:r>
            <w:r>
              <w:rPr>
                <w:sz w:val="24"/>
              </w:rPr>
              <w:t>Administrative </w:t>
            </w:r>
            <w:r>
              <w:rPr>
                <w:spacing w:val="-2"/>
                <w:sz w:val="24"/>
              </w:rPr>
              <w:t>Costs.</w:t>
            </w:r>
          </w:p>
        </w:tc>
      </w:tr>
      <w:tr>
        <w:trPr>
          <w:trHeight w:val="994"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5" w:lineRule="exact"/>
              <w:ind w:left="107"/>
              <w:rPr>
                <w:sz w:val="24"/>
              </w:rPr>
            </w:pPr>
            <w:r>
              <w:rPr>
                <w:spacing w:val="-2"/>
                <w:sz w:val="24"/>
              </w:rPr>
              <w:t>2.2.5.4</w:t>
            </w:r>
          </w:p>
        </w:tc>
        <w:tc>
          <w:tcPr>
            <w:tcW w:w="1534" w:type="dxa"/>
          </w:tcPr>
          <w:p>
            <w:pPr>
              <w:pStyle w:val="TableParagraph"/>
              <w:spacing w:line="245" w:lineRule="exact"/>
              <w:ind w:left="109"/>
              <w:rPr>
                <w:sz w:val="24"/>
              </w:rPr>
            </w:pPr>
            <w:r>
              <w:rPr>
                <w:sz w:val="24"/>
              </w:rPr>
              <w:t>P</w:t>
            </w:r>
          </w:p>
        </w:tc>
        <w:tc>
          <w:tcPr>
            <w:tcW w:w="3834" w:type="dxa"/>
          </w:tcPr>
          <w:p>
            <w:pPr>
              <w:pStyle w:val="TableParagraph"/>
              <w:spacing w:line="216" w:lineRule="auto"/>
              <w:ind w:left="110" w:right="145"/>
              <w:rPr>
                <w:sz w:val="24"/>
              </w:rPr>
            </w:pPr>
            <w:r>
              <w:rPr>
                <w:sz w:val="24"/>
              </w:rPr>
              <w:t>Deposit</w:t>
            </w:r>
            <w:r>
              <w:rPr>
                <w:spacing w:val="-13"/>
                <w:sz w:val="24"/>
              </w:rPr>
              <w:t> </w:t>
            </w:r>
            <w:r>
              <w:rPr>
                <w:sz w:val="24"/>
              </w:rPr>
              <w:t>collections</w:t>
            </w:r>
            <w:r>
              <w:rPr>
                <w:spacing w:val="-14"/>
                <w:sz w:val="24"/>
              </w:rPr>
              <w:t> </w:t>
            </w:r>
            <w:r>
              <w:rPr>
                <w:sz w:val="24"/>
              </w:rPr>
              <w:t>(for</w:t>
            </w:r>
            <w:r>
              <w:rPr>
                <w:spacing w:val="-14"/>
                <w:sz w:val="24"/>
              </w:rPr>
              <w:t> </w:t>
            </w:r>
            <w:r>
              <w:rPr>
                <w:sz w:val="24"/>
              </w:rPr>
              <w:t>example, checks, cash, and Automated Clearing</w:t>
            </w:r>
            <w:r>
              <w:rPr>
                <w:spacing w:val="-4"/>
                <w:sz w:val="24"/>
              </w:rPr>
              <w:t> </w:t>
            </w:r>
            <w:r>
              <w:rPr>
                <w:sz w:val="24"/>
              </w:rPr>
              <w:t>House</w:t>
            </w:r>
            <w:r>
              <w:rPr>
                <w:spacing w:val="-4"/>
                <w:sz w:val="24"/>
              </w:rPr>
              <w:t> </w:t>
            </w:r>
            <w:r>
              <w:rPr>
                <w:sz w:val="24"/>
              </w:rPr>
              <w:t>(ACH))</w:t>
            </w:r>
            <w:r>
              <w:rPr>
                <w:spacing w:val="-5"/>
                <w:sz w:val="24"/>
              </w:rPr>
              <w:t> </w:t>
            </w:r>
            <w:r>
              <w:rPr>
                <w:sz w:val="24"/>
              </w:rPr>
              <w:t>received</w:t>
            </w:r>
          </w:p>
          <w:p>
            <w:pPr>
              <w:pStyle w:val="TableParagraph"/>
              <w:spacing w:line="238" w:lineRule="exact"/>
              <w:ind w:left="110"/>
              <w:rPr>
                <w:sz w:val="24"/>
              </w:rPr>
            </w:pPr>
            <w:r>
              <w:rPr>
                <w:sz w:val="24"/>
              </w:rPr>
              <w:t>as</w:t>
            </w:r>
            <w:r>
              <w:rPr>
                <w:spacing w:val="-4"/>
                <w:sz w:val="24"/>
              </w:rPr>
              <w:t> </w:t>
            </w:r>
            <w:r>
              <w:rPr>
                <w:sz w:val="24"/>
              </w:rPr>
              <w:t>specified</w:t>
            </w:r>
            <w:r>
              <w:rPr>
                <w:spacing w:val="-2"/>
                <w:sz w:val="24"/>
              </w:rPr>
              <w:t> </w:t>
            </w:r>
            <w:r>
              <w:rPr>
                <w:sz w:val="24"/>
              </w:rPr>
              <w:t>in</w:t>
            </w:r>
            <w:r>
              <w:rPr>
                <w:spacing w:val="-2"/>
                <w:sz w:val="24"/>
              </w:rPr>
              <w:t> </w:t>
            </w:r>
            <w:r>
              <w:rPr>
                <w:sz w:val="24"/>
              </w:rPr>
              <w:t>the</w:t>
            </w:r>
            <w:r>
              <w:rPr>
                <w:spacing w:val="-2"/>
                <w:sz w:val="24"/>
              </w:rPr>
              <w:t> </w:t>
            </w:r>
            <w:r>
              <w:rPr>
                <w:spacing w:val="-4"/>
                <w:sz w:val="24"/>
              </w:rPr>
              <w:t>TFM.</w:t>
            </w:r>
          </w:p>
        </w:tc>
        <w:tc>
          <w:tcPr>
            <w:tcW w:w="6628" w:type="dxa"/>
          </w:tcPr>
          <w:p>
            <w:pPr>
              <w:pStyle w:val="TableParagraph"/>
              <w:numPr>
                <w:ilvl w:val="0"/>
                <w:numId w:val="56"/>
              </w:numPr>
              <w:tabs>
                <w:tab w:pos="328" w:val="left" w:leader="none"/>
              </w:tabs>
              <w:spacing w:line="263" w:lineRule="exact" w:before="0" w:after="0"/>
              <w:ind w:left="327" w:right="0" w:hanging="217"/>
              <w:jc w:val="left"/>
              <w:rPr>
                <w:sz w:val="24"/>
              </w:rPr>
            </w:pPr>
            <w:r>
              <w:rPr>
                <w:sz w:val="24"/>
              </w:rPr>
              <w:t>TFM</w:t>
            </w:r>
            <w:r>
              <w:rPr>
                <w:spacing w:val="-2"/>
                <w:sz w:val="24"/>
              </w:rPr>
              <w:t> </w:t>
            </w:r>
            <w:hyperlink r:id="rId67">
              <w:r>
                <w:rPr>
                  <w:color w:val="0000FF"/>
                  <w:sz w:val="24"/>
                </w:rPr>
                <w:t>Volume</w:t>
              </w:r>
              <w:r>
                <w:rPr>
                  <w:color w:val="0000FF"/>
                  <w:spacing w:val="-2"/>
                  <w:sz w:val="24"/>
                </w:rPr>
                <w:t> </w:t>
              </w:r>
              <w:r>
                <w:rPr>
                  <w:color w:val="0000FF"/>
                  <w:sz w:val="24"/>
                </w:rPr>
                <w:t>I,</w:t>
              </w:r>
              <w:r>
                <w:rPr>
                  <w:color w:val="0000FF"/>
                  <w:spacing w:val="-3"/>
                  <w:sz w:val="24"/>
                </w:rPr>
                <w:t> </w:t>
              </w:r>
              <w:r>
                <w:rPr>
                  <w:color w:val="0000FF"/>
                  <w:sz w:val="24"/>
                </w:rPr>
                <w:t>Part</w:t>
              </w:r>
              <w:r>
                <w:rPr>
                  <w:color w:val="0000FF"/>
                  <w:spacing w:val="-4"/>
                  <w:sz w:val="24"/>
                </w:rPr>
                <w:t> </w:t>
              </w:r>
              <w:r>
                <w:rPr>
                  <w:color w:val="0000FF"/>
                  <w:sz w:val="24"/>
                </w:rPr>
                <w:t>5</w:t>
              </w:r>
            </w:hyperlink>
            <w:r>
              <w:rPr>
                <w:color w:val="0000FF"/>
                <w:spacing w:val="-2"/>
                <w:sz w:val="24"/>
              </w:rPr>
              <w:t> </w:t>
            </w:r>
            <w:r>
              <w:rPr>
                <w:sz w:val="24"/>
              </w:rPr>
              <w:t>Deposit</w:t>
            </w:r>
            <w:r>
              <w:rPr>
                <w:spacing w:val="-1"/>
                <w:sz w:val="24"/>
              </w:rPr>
              <w:t> </w:t>
            </w:r>
            <w:r>
              <w:rPr>
                <w:spacing w:val="-2"/>
                <w:sz w:val="24"/>
              </w:rPr>
              <w:t>Regulations.</w:t>
            </w:r>
          </w:p>
        </w:tc>
      </w:tr>
      <w:tr>
        <w:trPr>
          <w:trHeight w:val="1273"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2.2.5.5</w:t>
            </w:r>
          </w:p>
        </w:tc>
        <w:tc>
          <w:tcPr>
            <w:tcW w:w="1534" w:type="dxa"/>
          </w:tcPr>
          <w:p>
            <w:pPr>
              <w:pStyle w:val="TableParagraph"/>
              <w:spacing w:line="244" w:lineRule="exact"/>
              <w:ind w:left="109"/>
              <w:rPr>
                <w:sz w:val="24"/>
              </w:rPr>
            </w:pPr>
            <w:r>
              <w:rPr>
                <w:spacing w:val="-5"/>
                <w:sz w:val="24"/>
              </w:rPr>
              <w:t>DI</w:t>
            </w:r>
          </w:p>
        </w:tc>
        <w:tc>
          <w:tcPr>
            <w:tcW w:w="3834" w:type="dxa"/>
          </w:tcPr>
          <w:p>
            <w:pPr>
              <w:pStyle w:val="TableParagraph"/>
              <w:spacing w:line="216" w:lineRule="auto"/>
              <w:ind w:left="110" w:right="145"/>
              <w:rPr>
                <w:sz w:val="24"/>
              </w:rPr>
            </w:pPr>
            <w:r>
              <w:rPr>
                <w:sz w:val="24"/>
              </w:rPr>
              <w:t>Capture</w:t>
            </w:r>
            <w:r>
              <w:rPr>
                <w:spacing w:val="-13"/>
                <w:sz w:val="24"/>
              </w:rPr>
              <w:t> </w:t>
            </w:r>
            <w:r>
              <w:rPr>
                <w:sz w:val="24"/>
              </w:rPr>
              <w:t>deposit</w:t>
            </w:r>
            <w:r>
              <w:rPr>
                <w:spacing w:val="-13"/>
                <w:sz w:val="24"/>
              </w:rPr>
              <w:t> </w:t>
            </w:r>
            <w:r>
              <w:rPr>
                <w:sz w:val="24"/>
              </w:rPr>
              <w:t>identifying</w:t>
            </w:r>
            <w:r>
              <w:rPr>
                <w:spacing w:val="-13"/>
                <w:sz w:val="24"/>
              </w:rPr>
              <w:t> </w:t>
            </w:r>
            <w:r>
              <w:rPr>
                <w:sz w:val="24"/>
              </w:rPr>
              <w:t>and status information to reconcile agency deposits with Treasury account balances.</w:t>
            </w:r>
          </w:p>
        </w:tc>
        <w:tc>
          <w:tcPr>
            <w:tcW w:w="6628" w:type="dxa"/>
          </w:tcPr>
          <w:p>
            <w:pPr>
              <w:pStyle w:val="TableParagraph"/>
              <w:numPr>
                <w:ilvl w:val="0"/>
                <w:numId w:val="57"/>
              </w:numPr>
              <w:tabs>
                <w:tab w:pos="328" w:val="left" w:leader="none"/>
              </w:tabs>
              <w:spacing w:line="213" w:lineRule="auto" w:before="0" w:after="0"/>
              <w:ind w:left="327" w:right="379" w:hanging="216"/>
              <w:jc w:val="left"/>
              <w:rPr>
                <w:sz w:val="24"/>
              </w:rPr>
            </w:pPr>
            <w:r>
              <w:rPr>
                <w:sz w:val="24"/>
              </w:rPr>
              <w:t>TFM</w:t>
            </w:r>
            <w:r>
              <w:rPr>
                <w:spacing w:val="-4"/>
                <w:sz w:val="24"/>
              </w:rPr>
              <w:t> </w:t>
            </w:r>
            <w:hyperlink r:id="rId61">
              <w:r>
                <w:rPr>
                  <w:color w:val="0000FF"/>
                  <w:sz w:val="24"/>
                </w:rPr>
                <w:t>Volume</w:t>
              </w:r>
              <w:r>
                <w:rPr>
                  <w:color w:val="0000FF"/>
                  <w:spacing w:val="-4"/>
                  <w:sz w:val="24"/>
                </w:rPr>
                <w:t> </w:t>
              </w:r>
              <w:r>
                <w:rPr>
                  <w:color w:val="0000FF"/>
                  <w:sz w:val="24"/>
                </w:rPr>
                <w:t>I,</w:t>
              </w:r>
              <w:r>
                <w:rPr>
                  <w:color w:val="0000FF"/>
                  <w:spacing w:val="-5"/>
                  <w:sz w:val="24"/>
                </w:rPr>
                <w:t> </w:t>
              </w:r>
              <w:r>
                <w:rPr>
                  <w:color w:val="0000FF"/>
                  <w:sz w:val="24"/>
                </w:rPr>
                <w:t>Part</w:t>
              </w:r>
              <w:r>
                <w:rPr>
                  <w:color w:val="0000FF"/>
                  <w:spacing w:val="-6"/>
                  <w:sz w:val="24"/>
                </w:rPr>
                <w:t> </w:t>
              </w:r>
              <w:r>
                <w:rPr>
                  <w:color w:val="0000FF"/>
                  <w:sz w:val="24"/>
                </w:rPr>
                <w:t>2,</w:t>
              </w:r>
              <w:r>
                <w:rPr>
                  <w:color w:val="0000FF"/>
                  <w:spacing w:val="-4"/>
                  <w:sz w:val="24"/>
                </w:rPr>
                <w:t> </w:t>
              </w:r>
              <w:r>
                <w:rPr>
                  <w:color w:val="0000FF"/>
                  <w:sz w:val="24"/>
                </w:rPr>
                <w:t>Chapter</w:t>
              </w:r>
              <w:r>
                <w:rPr>
                  <w:color w:val="0000FF"/>
                  <w:spacing w:val="-5"/>
                  <w:sz w:val="24"/>
                </w:rPr>
                <w:t> </w:t>
              </w:r>
              <w:r>
                <w:rPr>
                  <w:color w:val="0000FF"/>
                  <w:sz w:val="24"/>
                </w:rPr>
                <w:t>5100</w:t>
              </w:r>
            </w:hyperlink>
            <w:r>
              <w:rPr>
                <w:color w:val="0000FF"/>
                <w:spacing w:val="-4"/>
                <w:sz w:val="24"/>
              </w:rPr>
              <w:t> </w:t>
            </w:r>
            <w:r>
              <w:rPr>
                <w:sz w:val="24"/>
              </w:rPr>
              <w:t>Fund</w:t>
            </w:r>
            <w:r>
              <w:rPr>
                <w:spacing w:val="-4"/>
                <w:sz w:val="24"/>
              </w:rPr>
              <w:t> </w:t>
            </w:r>
            <w:r>
              <w:rPr>
                <w:sz w:val="24"/>
              </w:rPr>
              <w:t>Balance</w:t>
            </w:r>
            <w:r>
              <w:rPr>
                <w:spacing w:val="-4"/>
                <w:sz w:val="24"/>
              </w:rPr>
              <w:t> </w:t>
            </w:r>
            <w:r>
              <w:rPr>
                <w:sz w:val="24"/>
              </w:rPr>
              <w:t>with Treasury</w:t>
            </w:r>
            <w:r>
              <w:rPr>
                <w:spacing w:val="-8"/>
                <w:sz w:val="24"/>
              </w:rPr>
              <w:t> </w:t>
            </w:r>
            <w:r>
              <w:rPr>
                <w:sz w:val="24"/>
              </w:rPr>
              <w:t>Accounts;</w:t>
            </w:r>
          </w:p>
          <w:p>
            <w:pPr>
              <w:pStyle w:val="TableParagraph"/>
              <w:numPr>
                <w:ilvl w:val="0"/>
                <w:numId w:val="57"/>
              </w:numPr>
              <w:tabs>
                <w:tab w:pos="328" w:val="left" w:leader="none"/>
              </w:tabs>
              <w:spacing w:line="258" w:lineRule="exact" w:before="0" w:after="0"/>
              <w:ind w:left="327" w:right="0" w:hanging="217"/>
              <w:jc w:val="left"/>
              <w:rPr>
                <w:sz w:val="24"/>
              </w:rPr>
            </w:pPr>
            <w:r>
              <w:rPr>
                <w:sz w:val="24"/>
              </w:rPr>
              <w:t>TFM</w:t>
            </w:r>
            <w:r>
              <w:rPr>
                <w:spacing w:val="-2"/>
                <w:sz w:val="24"/>
              </w:rPr>
              <w:t> </w:t>
            </w:r>
            <w:hyperlink r:id="rId68">
              <w:r>
                <w:rPr>
                  <w:color w:val="0000FF"/>
                  <w:sz w:val="24"/>
                </w:rPr>
                <w:t>Volume</w:t>
              </w:r>
              <w:r>
                <w:rPr>
                  <w:color w:val="0000FF"/>
                  <w:spacing w:val="-3"/>
                  <w:sz w:val="24"/>
                </w:rPr>
                <w:t> </w:t>
              </w:r>
              <w:r>
                <w:rPr>
                  <w:color w:val="0000FF"/>
                  <w:sz w:val="24"/>
                </w:rPr>
                <w:t>I,</w:t>
              </w:r>
              <w:r>
                <w:rPr>
                  <w:color w:val="0000FF"/>
                  <w:spacing w:val="-3"/>
                  <w:sz w:val="24"/>
                </w:rPr>
                <w:t> </w:t>
              </w:r>
              <w:r>
                <w:rPr>
                  <w:color w:val="0000FF"/>
                  <w:sz w:val="24"/>
                </w:rPr>
                <w:t>Part</w:t>
              </w:r>
              <w:r>
                <w:rPr>
                  <w:color w:val="0000FF"/>
                  <w:spacing w:val="-5"/>
                  <w:sz w:val="24"/>
                </w:rPr>
                <w:t> </w:t>
              </w:r>
              <w:r>
                <w:rPr>
                  <w:color w:val="0000FF"/>
                  <w:sz w:val="24"/>
                </w:rPr>
                <w:t>5,</w:t>
              </w:r>
              <w:r>
                <w:rPr>
                  <w:color w:val="0000FF"/>
                  <w:spacing w:val="-3"/>
                  <w:sz w:val="24"/>
                </w:rPr>
                <w:t> </w:t>
              </w:r>
              <w:r>
                <w:rPr>
                  <w:color w:val="0000FF"/>
                  <w:sz w:val="24"/>
                </w:rPr>
                <w:t>Chapter</w:t>
              </w:r>
              <w:r>
                <w:rPr>
                  <w:color w:val="0000FF"/>
                  <w:spacing w:val="-3"/>
                  <w:sz w:val="24"/>
                </w:rPr>
                <w:t> </w:t>
              </w:r>
              <w:r>
                <w:rPr>
                  <w:color w:val="0000FF"/>
                  <w:sz w:val="24"/>
                </w:rPr>
                <w:t>2000</w:t>
              </w:r>
            </w:hyperlink>
            <w:r>
              <w:rPr>
                <w:color w:val="0000FF"/>
                <w:spacing w:val="-3"/>
                <w:sz w:val="24"/>
              </w:rPr>
              <w:t> </w:t>
            </w:r>
            <w:r>
              <w:rPr>
                <w:sz w:val="24"/>
              </w:rPr>
              <w:t>Depositing</w:t>
            </w:r>
            <w:r>
              <w:rPr>
                <w:spacing w:val="-2"/>
                <w:sz w:val="24"/>
              </w:rPr>
              <w:t> Domestic</w:t>
            </w:r>
          </w:p>
          <w:p>
            <w:pPr>
              <w:pStyle w:val="TableParagraph"/>
              <w:spacing w:line="248" w:lineRule="exact"/>
              <w:rPr>
                <w:sz w:val="24"/>
              </w:rPr>
            </w:pPr>
            <w:r>
              <w:rPr>
                <w:sz w:val="24"/>
              </w:rPr>
              <w:t>Checks</w:t>
            </w:r>
            <w:r>
              <w:rPr>
                <w:spacing w:val="-8"/>
                <w:sz w:val="24"/>
              </w:rPr>
              <w:t> </w:t>
            </w:r>
            <w:r>
              <w:rPr>
                <w:sz w:val="24"/>
              </w:rPr>
              <w:t>and</w:t>
            </w:r>
            <w:r>
              <w:rPr>
                <w:spacing w:val="-33"/>
                <w:sz w:val="24"/>
              </w:rPr>
              <w:t> </w:t>
            </w:r>
            <w:r>
              <w:rPr>
                <w:sz w:val="24"/>
              </w:rPr>
              <w:t>Cash</w:t>
            </w:r>
            <w:r>
              <w:rPr>
                <w:spacing w:val="-5"/>
                <w:sz w:val="24"/>
              </w:rPr>
              <w:t> </w:t>
            </w:r>
            <w:r>
              <w:rPr>
                <w:sz w:val="24"/>
              </w:rPr>
              <w:t>Received</w:t>
            </w:r>
            <w:r>
              <w:rPr>
                <w:spacing w:val="-5"/>
                <w:sz w:val="24"/>
              </w:rPr>
              <w:t> </w:t>
            </w:r>
            <w:r>
              <w:rPr>
                <w:sz w:val="24"/>
              </w:rPr>
              <w:t>in</w:t>
            </w:r>
            <w:r>
              <w:rPr>
                <w:spacing w:val="-5"/>
                <w:sz w:val="24"/>
              </w:rPr>
              <w:t> </w:t>
            </w:r>
            <w:r>
              <w:rPr>
                <w:sz w:val="24"/>
              </w:rPr>
              <w:t>Over</w:t>
            </w:r>
            <w:r>
              <w:rPr>
                <w:spacing w:val="-5"/>
                <w:sz w:val="24"/>
              </w:rPr>
              <w:t> </w:t>
            </w:r>
            <w:r>
              <w:rPr>
                <w:sz w:val="24"/>
              </w:rPr>
              <w:t>the</w:t>
            </w:r>
            <w:r>
              <w:rPr>
                <w:spacing w:val="-5"/>
                <w:sz w:val="24"/>
              </w:rPr>
              <w:t> </w:t>
            </w:r>
            <w:r>
              <w:rPr>
                <w:sz w:val="24"/>
              </w:rPr>
              <w:t>Counter</w:t>
            </w:r>
            <w:r>
              <w:rPr>
                <w:spacing w:val="-5"/>
                <w:sz w:val="24"/>
              </w:rPr>
              <w:t> </w:t>
            </w:r>
            <w:r>
              <w:rPr>
                <w:sz w:val="24"/>
              </w:rPr>
              <w:t>(OTC) </w:t>
            </w:r>
            <w:r>
              <w:rPr>
                <w:spacing w:val="-2"/>
                <w:sz w:val="24"/>
              </w:rPr>
              <w:t>Collections.</w:t>
            </w:r>
          </w:p>
        </w:tc>
      </w:tr>
    </w:tbl>
    <w:p>
      <w:pPr>
        <w:spacing w:after="0" w:line="248" w:lineRule="exac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036" w:hRule="atLeast"/>
        </w:trPr>
        <w:tc>
          <w:tcPr>
            <w:tcW w:w="1525" w:type="dxa"/>
            <w:vMerge w:val="restart"/>
          </w:tcPr>
          <w:p>
            <w:pPr>
              <w:pStyle w:val="TableParagraph"/>
              <w:ind w:left="0"/>
              <w:rPr>
                <w:rFonts w:ascii="Times New Roman"/>
                <w:sz w:val="22"/>
              </w:rPr>
            </w:pPr>
          </w:p>
        </w:tc>
        <w:tc>
          <w:tcPr>
            <w:tcW w:w="1761" w:type="dxa"/>
            <w:vMerge w:val="restart"/>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2.2.5.6</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98"/>
              <w:rPr>
                <w:sz w:val="24"/>
              </w:rPr>
            </w:pPr>
            <w:r>
              <w:rPr>
                <w:sz w:val="24"/>
              </w:rPr>
              <w:t>Refer debt for collection (for example,</w:t>
            </w:r>
            <w:r>
              <w:rPr>
                <w:spacing w:val="-10"/>
                <w:sz w:val="24"/>
              </w:rPr>
              <w:t> </w:t>
            </w:r>
            <w:r>
              <w:rPr>
                <w:sz w:val="24"/>
              </w:rPr>
              <w:t>to</w:t>
            </w:r>
            <w:r>
              <w:rPr>
                <w:spacing w:val="-10"/>
                <w:sz w:val="24"/>
              </w:rPr>
              <w:t> </w:t>
            </w:r>
            <w:r>
              <w:rPr>
                <w:sz w:val="24"/>
              </w:rPr>
              <w:t>Treasury</w:t>
            </w:r>
            <w:r>
              <w:rPr>
                <w:spacing w:val="-11"/>
                <w:sz w:val="24"/>
              </w:rPr>
              <w:t> </w:t>
            </w:r>
            <w:r>
              <w:rPr>
                <w:sz w:val="24"/>
              </w:rPr>
              <w:t>if</w:t>
            </w:r>
            <w:r>
              <w:rPr>
                <w:spacing w:val="-9"/>
                <w:sz w:val="24"/>
              </w:rPr>
              <w:t> </w:t>
            </w:r>
            <w:r>
              <w:rPr>
                <w:sz w:val="24"/>
              </w:rPr>
              <w:t>delinquent more than 120 days and to the Department of Justice whenever the agency determines debt is uncollectable) as required by OMB Circular No. A-129 and consistent with the TFM.</w:t>
            </w:r>
          </w:p>
        </w:tc>
        <w:tc>
          <w:tcPr>
            <w:tcW w:w="6628" w:type="dxa"/>
          </w:tcPr>
          <w:p>
            <w:pPr>
              <w:pStyle w:val="TableParagraph"/>
              <w:numPr>
                <w:ilvl w:val="0"/>
                <w:numId w:val="58"/>
              </w:numPr>
              <w:tabs>
                <w:tab w:pos="328" w:val="left" w:leader="none"/>
              </w:tabs>
              <w:spacing w:line="216" w:lineRule="auto" w:before="0" w:after="0"/>
              <w:ind w:left="327" w:right="107" w:hanging="216"/>
              <w:jc w:val="left"/>
              <w:rPr>
                <w:sz w:val="24"/>
              </w:rPr>
            </w:pPr>
            <w:r>
              <w:rPr>
                <w:sz w:val="24"/>
              </w:rPr>
              <w:t>TFM </w:t>
            </w:r>
            <w:hyperlink r:id="rId64">
              <w:r>
                <w:rPr>
                  <w:color w:val="0000FF"/>
                  <w:sz w:val="24"/>
                </w:rPr>
                <w:t>Volume I, Part 3, Chapter 7000</w:t>
              </w:r>
            </w:hyperlink>
            <w:r>
              <w:rPr>
                <w:color w:val="0000FF"/>
                <w:sz w:val="24"/>
              </w:rPr>
              <w:t> </w:t>
            </w:r>
            <w:r>
              <w:rPr>
                <w:sz w:val="24"/>
              </w:rPr>
              <w:t>Section 7120, Reporting Requirements, and the </w:t>
            </w:r>
            <w:hyperlink r:id="rId65">
              <w:r>
                <w:rPr>
                  <w:i/>
                  <w:color w:val="0000FF"/>
                  <w:sz w:val="24"/>
                </w:rPr>
                <w:t>Instructional Workbook</w:t>
              </w:r>
            </w:hyperlink>
            <w:r>
              <w:rPr>
                <w:i/>
                <w:color w:val="0000FF"/>
                <w:sz w:val="24"/>
              </w:rPr>
              <w:t> </w:t>
            </w:r>
            <w:hyperlink r:id="rId65">
              <w:r>
                <w:rPr>
                  <w:i/>
                  <w:color w:val="0000FF"/>
                  <w:sz w:val="24"/>
                </w:rPr>
                <w:t>for Preparing the Treasury Report on</w:t>
              </w:r>
            </w:hyperlink>
            <w:r>
              <w:rPr>
                <w:i/>
                <w:color w:val="0000FF"/>
                <w:sz w:val="24"/>
              </w:rPr>
              <w:t> </w:t>
            </w:r>
            <w:hyperlink r:id="rId65">
              <w:r>
                <w:rPr>
                  <w:i/>
                  <w:color w:val="0000FF"/>
                  <w:sz w:val="24"/>
                </w:rPr>
                <w:t>Receivables and</w:t>
              </w:r>
            </w:hyperlink>
            <w:r>
              <w:rPr>
                <w:i/>
                <w:color w:val="0000FF"/>
                <w:sz w:val="24"/>
              </w:rPr>
              <w:t> </w:t>
            </w:r>
            <w:hyperlink r:id="rId65">
              <w:r>
                <w:rPr>
                  <w:i/>
                  <w:color w:val="0000FF"/>
                  <w:sz w:val="24"/>
                </w:rPr>
                <w:t>Debt</w:t>
              </w:r>
              <w:r>
                <w:rPr>
                  <w:i/>
                  <w:color w:val="0000FF"/>
                  <w:spacing w:val="-8"/>
                  <w:sz w:val="24"/>
                </w:rPr>
                <w:t> </w:t>
              </w:r>
              <w:r>
                <w:rPr>
                  <w:i/>
                  <w:color w:val="0000FF"/>
                  <w:sz w:val="24"/>
                </w:rPr>
                <w:t>Collection</w:t>
              </w:r>
              <w:r>
                <w:rPr>
                  <w:i/>
                  <w:color w:val="0000FF"/>
                  <w:spacing w:val="-6"/>
                  <w:sz w:val="24"/>
                </w:rPr>
                <w:t> </w:t>
              </w:r>
              <w:r>
                <w:rPr>
                  <w:i/>
                  <w:color w:val="0000FF"/>
                  <w:sz w:val="24"/>
                </w:rPr>
                <w:t>Activities,</w:t>
              </w:r>
              <w:r>
                <w:rPr>
                  <w:i/>
                  <w:color w:val="0000FF"/>
                  <w:spacing w:val="-5"/>
                  <w:sz w:val="24"/>
                </w:rPr>
                <w:t> </w:t>
              </w:r>
              <w:r>
                <w:rPr>
                  <w:i/>
                  <w:color w:val="0000FF"/>
                  <w:sz w:val="24"/>
                </w:rPr>
                <w:t>Parts</w:t>
              </w:r>
              <w:r>
                <w:rPr>
                  <w:i/>
                  <w:color w:val="0000FF"/>
                  <w:spacing w:val="-6"/>
                  <w:sz w:val="24"/>
                </w:rPr>
                <w:t> </w:t>
              </w:r>
              <w:r>
                <w:rPr>
                  <w:i/>
                  <w:color w:val="0000FF"/>
                  <w:sz w:val="24"/>
                </w:rPr>
                <w:t>I</w:t>
              </w:r>
              <w:r>
                <w:rPr>
                  <w:i/>
                  <w:color w:val="0000FF"/>
                  <w:spacing w:val="-8"/>
                  <w:sz w:val="24"/>
                </w:rPr>
                <w:t> </w:t>
              </w:r>
              <w:r>
                <w:rPr>
                  <w:i/>
                  <w:color w:val="0000FF"/>
                  <w:sz w:val="24"/>
                </w:rPr>
                <w:t>and</w:t>
              </w:r>
              <w:r>
                <w:rPr>
                  <w:i/>
                  <w:color w:val="0000FF"/>
                  <w:spacing w:val="-6"/>
                  <w:sz w:val="24"/>
                </w:rPr>
                <w:t> </w:t>
              </w:r>
              <w:r>
                <w:rPr>
                  <w:i/>
                  <w:color w:val="0000FF"/>
                  <w:sz w:val="24"/>
                </w:rPr>
                <w:t>II</w:t>
              </w:r>
            </w:hyperlink>
            <w:r>
              <w:rPr>
                <w:i/>
                <w:color w:val="0000FF"/>
                <w:spacing w:val="-5"/>
                <w:sz w:val="24"/>
              </w:rPr>
              <w:t> </w:t>
            </w:r>
            <w:r>
              <w:rPr>
                <w:sz w:val="24"/>
              </w:rPr>
              <w:t>referenced</w:t>
            </w:r>
            <w:r>
              <w:rPr>
                <w:spacing w:val="-33"/>
                <w:sz w:val="24"/>
              </w:rPr>
              <w:t> </w:t>
            </w:r>
            <w:r>
              <w:rPr>
                <w:sz w:val="24"/>
              </w:rPr>
              <w:t>therein;</w:t>
            </w:r>
          </w:p>
          <w:p>
            <w:pPr>
              <w:pStyle w:val="TableParagraph"/>
              <w:numPr>
                <w:ilvl w:val="0"/>
                <w:numId w:val="58"/>
              </w:numPr>
              <w:tabs>
                <w:tab w:pos="328" w:val="left" w:leader="none"/>
              </w:tabs>
              <w:spacing w:line="213" w:lineRule="auto" w:before="0" w:after="0"/>
              <w:ind w:left="327" w:right="381" w:hanging="216"/>
              <w:jc w:val="left"/>
              <w:rPr>
                <w:sz w:val="24"/>
              </w:rPr>
            </w:pPr>
            <w:r>
              <w:rPr>
                <w:sz w:val="24"/>
              </w:rPr>
              <w:t>TFM</w:t>
            </w:r>
            <w:r>
              <w:rPr>
                <w:spacing w:val="-4"/>
                <w:sz w:val="24"/>
              </w:rPr>
              <w:t> </w:t>
            </w:r>
            <w:hyperlink r:id="rId69">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7"/>
                  <w:sz w:val="24"/>
                </w:rPr>
                <w:t> </w:t>
              </w:r>
              <w:r>
                <w:rPr>
                  <w:color w:val="0000FF"/>
                  <w:sz w:val="24"/>
                </w:rPr>
                <w:t>4,</w:t>
              </w:r>
              <w:r>
                <w:rPr>
                  <w:color w:val="0000FF"/>
                  <w:spacing w:val="-5"/>
                  <w:sz w:val="24"/>
                </w:rPr>
                <w:t> </w:t>
              </w:r>
              <w:r>
                <w:rPr>
                  <w:color w:val="0000FF"/>
                  <w:sz w:val="24"/>
                </w:rPr>
                <w:t>Chapter</w:t>
              </w:r>
              <w:r>
                <w:rPr>
                  <w:color w:val="0000FF"/>
                  <w:spacing w:val="-6"/>
                  <w:sz w:val="24"/>
                </w:rPr>
                <w:t> </w:t>
              </w:r>
              <w:r>
                <w:rPr>
                  <w:color w:val="0000FF"/>
                  <w:sz w:val="24"/>
                </w:rPr>
                <w:t>4000</w:t>
              </w:r>
            </w:hyperlink>
            <w:r>
              <w:rPr>
                <w:color w:val="0000FF"/>
                <w:spacing w:val="-5"/>
                <w:sz w:val="24"/>
              </w:rPr>
              <w:t> </w:t>
            </w:r>
            <w:r>
              <w:rPr>
                <w:sz w:val="24"/>
              </w:rPr>
              <w:t>Debt</w:t>
            </w:r>
            <w:r>
              <w:rPr>
                <w:spacing w:val="-5"/>
                <w:sz w:val="24"/>
              </w:rPr>
              <w:t> </w:t>
            </w:r>
            <w:r>
              <w:rPr>
                <w:sz w:val="24"/>
              </w:rPr>
              <w:t>Management Services Collection</w:t>
            </w:r>
            <w:r>
              <w:rPr>
                <w:spacing w:val="-27"/>
                <w:sz w:val="24"/>
              </w:rPr>
              <w:t> </w:t>
            </w:r>
            <w:r>
              <w:rPr>
                <w:sz w:val="24"/>
              </w:rPr>
              <w:t>of Delinquent Nontax Debt;</w:t>
            </w:r>
          </w:p>
          <w:p>
            <w:pPr>
              <w:pStyle w:val="TableParagraph"/>
              <w:numPr>
                <w:ilvl w:val="0"/>
                <w:numId w:val="58"/>
              </w:numPr>
              <w:tabs>
                <w:tab w:pos="328" w:val="left" w:leader="none"/>
              </w:tabs>
              <w:spacing w:line="250" w:lineRule="exact" w:before="0" w:after="0"/>
              <w:ind w:left="327" w:right="807" w:hanging="216"/>
              <w:jc w:val="left"/>
              <w:rPr>
                <w:sz w:val="24"/>
              </w:rPr>
            </w:pPr>
            <w:hyperlink r:id="rId41">
              <w:r>
                <w:rPr>
                  <w:color w:val="0000FF"/>
                  <w:sz w:val="24"/>
                </w:rPr>
                <w:t>OMB</w:t>
              </w:r>
            </w:hyperlink>
            <w:r>
              <w:rPr>
                <w:color w:val="0000FF"/>
                <w:spacing w:val="-6"/>
                <w:sz w:val="24"/>
              </w:rPr>
              <w:t> </w:t>
            </w:r>
            <w:r>
              <w:rPr>
                <w:sz w:val="24"/>
              </w:rPr>
              <w:t>Circular</w:t>
            </w:r>
            <w:r>
              <w:rPr>
                <w:spacing w:val="-5"/>
                <w:sz w:val="24"/>
              </w:rPr>
              <w:t> </w:t>
            </w:r>
            <w:r>
              <w:rPr>
                <w:sz w:val="24"/>
              </w:rPr>
              <w:t>No.</w:t>
            </w:r>
            <w:r>
              <w:rPr>
                <w:spacing w:val="-5"/>
                <w:sz w:val="24"/>
              </w:rPr>
              <w:t> </w:t>
            </w:r>
            <w:r>
              <w:rPr>
                <w:sz w:val="24"/>
              </w:rPr>
              <w:t>A-129,</w:t>
            </w:r>
            <w:r>
              <w:rPr>
                <w:spacing w:val="-6"/>
                <w:sz w:val="24"/>
              </w:rPr>
              <w:t> </w:t>
            </w:r>
            <w:r>
              <w:rPr>
                <w:sz w:val="24"/>
              </w:rPr>
              <w:t>Policies</w:t>
            </w:r>
            <w:r>
              <w:rPr>
                <w:spacing w:val="-6"/>
                <w:sz w:val="24"/>
              </w:rPr>
              <w:t> </w:t>
            </w:r>
            <w:r>
              <w:rPr>
                <w:sz w:val="24"/>
              </w:rPr>
              <w:t>for</w:t>
            </w:r>
            <w:r>
              <w:rPr>
                <w:spacing w:val="-6"/>
                <w:sz w:val="24"/>
              </w:rPr>
              <w:t> </w:t>
            </w:r>
            <w:r>
              <w:rPr>
                <w:sz w:val="24"/>
              </w:rPr>
              <w:t>Federal</w:t>
            </w:r>
            <w:r>
              <w:rPr>
                <w:spacing w:val="-6"/>
                <w:sz w:val="24"/>
              </w:rPr>
              <w:t> </w:t>
            </w:r>
            <w:r>
              <w:rPr>
                <w:sz w:val="24"/>
              </w:rPr>
              <w:t>Credit Programs and</w:t>
            </w:r>
            <w:r>
              <w:rPr>
                <w:spacing w:val="-12"/>
                <w:sz w:val="24"/>
              </w:rPr>
              <w:t> </w:t>
            </w:r>
            <w:r>
              <w:rPr>
                <w:sz w:val="24"/>
              </w:rPr>
              <w:t>Non-Tax Receivables.</w:t>
            </w:r>
          </w:p>
        </w:tc>
      </w:tr>
      <w:tr>
        <w:trPr>
          <w:trHeight w:val="2483"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2.2.5.7</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92"/>
              <w:rPr>
                <w:sz w:val="24"/>
              </w:rPr>
            </w:pPr>
            <w:r>
              <w:rPr>
                <w:sz w:val="24"/>
              </w:rPr>
              <w:t>Provide debt management data required to post GL transactions consistent with USSGL transaction codes, transaction categories (for example, </w:t>
            </w:r>
            <w:r>
              <w:rPr>
                <w:spacing w:val="-2"/>
                <w:sz w:val="24"/>
              </w:rPr>
              <w:t>adjustments/write- </w:t>
            </w:r>
            <w:r>
              <w:rPr>
                <w:sz w:val="24"/>
              </w:rPr>
              <w:t>offs/reclassification), and transaction subcategories (for example,</w:t>
            </w:r>
            <w:r>
              <w:rPr>
                <w:spacing w:val="-10"/>
                <w:sz w:val="24"/>
              </w:rPr>
              <w:t> </w:t>
            </w:r>
            <w:r>
              <w:rPr>
                <w:sz w:val="24"/>
              </w:rPr>
              <w:t>write-offs)</w:t>
            </w:r>
            <w:r>
              <w:rPr>
                <w:spacing w:val="-10"/>
                <w:sz w:val="24"/>
              </w:rPr>
              <w:t> </w:t>
            </w:r>
            <w:r>
              <w:rPr>
                <w:sz w:val="24"/>
              </w:rPr>
              <w:t>as</w:t>
            </w:r>
            <w:r>
              <w:rPr>
                <w:spacing w:val="-11"/>
                <w:sz w:val="24"/>
              </w:rPr>
              <w:t> </w:t>
            </w:r>
            <w:r>
              <w:rPr>
                <w:sz w:val="24"/>
              </w:rPr>
              <w:t>defined</w:t>
            </w:r>
            <w:r>
              <w:rPr>
                <w:spacing w:val="-10"/>
                <w:sz w:val="24"/>
              </w:rPr>
              <w:t> </w:t>
            </w:r>
            <w:r>
              <w:rPr>
                <w:sz w:val="24"/>
              </w:rPr>
              <w:t>in</w:t>
            </w:r>
          </w:p>
          <w:p>
            <w:pPr>
              <w:pStyle w:val="TableParagraph"/>
              <w:spacing w:line="238" w:lineRule="exact"/>
              <w:ind w:left="110"/>
              <w:rPr>
                <w:sz w:val="24"/>
              </w:rPr>
            </w:pPr>
            <w:r>
              <w:rPr>
                <w:sz w:val="24"/>
              </w:rPr>
              <w:t>the</w:t>
            </w:r>
            <w:r>
              <w:rPr>
                <w:spacing w:val="-1"/>
                <w:sz w:val="24"/>
              </w:rPr>
              <w:t> </w:t>
            </w:r>
            <w:r>
              <w:rPr>
                <w:spacing w:val="-4"/>
                <w:sz w:val="24"/>
              </w:rPr>
              <w:t>TFM.</w:t>
            </w:r>
          </w:p>
        </w:tc>
        <w:tc>
          <w:tcPr>
            <w:tcW w:w="6628" w:type="dxa"/>
          </w:tcPr>
          <w:p>
            <w:pPr>
              <w:pStyle w:val="TableParagraph"/>
              <w:numPr>
                <w:ilvl w:val="0"/>
                <w:numId w:val="59"/>
              </w:numPr>
              <w:tabs>
                <w:tab w:pos="328" w:val="left" w:leader="none"/>
              </w:tabs>
              <w:spacing w:line="247" w:lineRule="exact" w:before="0" w:after="0"/>
              <w:ind w:left="327" w:right="0" w:hanging="217"/>
              <w:jc w:val="left"/>
              <w:rPr>
                <w:sz w:val="24"/>
              </w:rPr>
            </w:pPr>
            <w:hyperlink r:id="rId14">
              <w:r>
                <w:rPr>
                  <w:color w:val="0000FF"/>
                  <w:sz w:val="24"/>
                </w:rPr>
                <w:t>USSGL</w:t>
              </w:r>
            </w:hyperlink>
            <w:r>
              <w:rPr>
                <w:sz w:val="24"/>
              </w:rPr>
              <w:t>,</w:t>
            </w:r>
            <w:r>
              <w:rPr>
                <w:spacing w:val="-3"/>
                <w:sz w:val="24"/>
              </w:rPr>
              <w:t> </w:t>
            </w:r>
            <w:r>
              <w:rPr>
                <w:sz w:val="24"/>
              </w:rPr>
              <w:t>Section</w:t>
            </w:r>
            <w:r>
              <w:rPr>
                <w:spacing w:val="-3"/>
                <w:sz w:val="24"/>
              </w:rPr>
              <w:t> </w:t>
            </w:r>
            <w:r>
              <w:rPr>
                <w:sz w:val="24"/>
              </w:rPr>
              <w:t>III:</w:t>
            </w:r>
            <w:r>
              <w:rPr>
                <w:spacing w:val="-3"/>
                <w:sz w:val="24"/>
              </w:rPr>
              <w:t> </w:t>
            </w:r>
            <w:r>
              <w:rPr>
                <w:sz w:val="24"/>
              </w:rPr>
              <w:t>Account</w:t>
            </w:r>
            <w:r>
              <w:rPr>
                <w:spacing w:val="-3"/>
                <w:sz w:val="24"/>
              </w:rPr>
              <w:t> </w:t>
            </w:r>
            <w:r>
              <w:rPr>
                <w:spacing w:val="-2"/>
                <w:sz w:val="24"/>
              </w:rPr>
              <w:t>Transactions;</w:t>
            </w:r>
          </w:p>
          <w:p>
            <w:pPr>
              <w:pStyle w:val="TableParagraph"/>
              <w:numPr>
                <w:ilvl w:val="0"/>
                <w:numId w:val="59"/>
              </w:numPr>
              <w:tabs>
                <w:tab w:pos="328" w:val="left" w:leader="none"/>
              </w:tabs>
              <w:spacing w:line="213" w:lineRule="auto" w:before="12" w:after="0"/>
              <w:ind w:left="327" w:right="459" w:hanging="216"/>
              <w:jc w:val="left"/>
              <w:rPr>
                <w:sz w:val="24"/>
              </w:rPr>
            </w:pPr>
            <w:hyperlink r:id="rId14">
              <w:r>
                <w:rPr>
                  <w:color w:val="0000FF"/>
                  <w:sz w:val="24"/>
                </w:rPr>
                <w:t>USSGL</w:t>
              </w:r>
            </w:hyperlink>
            <w:r>
              <w:rPr>
                <w:sz w:val="24"/>
              </w:rPr>
              <w:t>, Section IV: Account Attributes for USSGL Proprietary</w:t>
            </w:r>
            <w:r>
              <w:rPr>
                <w:spacing w:val="-11"/>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7"/>
                <w:sz w:val="24"/>
              </w:rPr>
              <w:t> </w:t>
            </w:r>
            <w:r>
              <w:rPr>
                <w:sz w:val="24"/>
              </w:rPr>
              <w:t>Reporting;</w:t>
            </w:r>
          </w:p>
          <w:p>
            <w:pPr>
              <w:pStyle w:val="TableParagraph"/>
              <w:numPr>
                <w:ilvl w:val="0"/>
                <w:numId w:val="59"/>
              </w:numPr>
              <w:tabs>
                <w:tab w:pos="328" w:val="left" w:leader="none"/>
              </w:tabs>
              <w:spacing w:line="213" w:lineRule="auto" w:before="5"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r>
        <w:trPr>
          <w:trHeight w:val="2781" w:hRule="atLeast"/>
        </w:trPr>
        <w:tc>
          <w:tcPr>
            <w:tcW w:w="1525" w:type="dxa"/>
          </w:tcPr>
          <w:p>
            <w:pPr>
              <w:pStyle w:val="TableParagraph"/>
              <w:spacing w:line="244" w:lineRule="exact"/>
              <w:ind w:left="107"/>
              <w:rPr>
                <w:sz w:val="24"/>
              </w:rPr>
            </w:pPr>
            <w:r>
              <w:rPr>
                <w:spacing w:val="-4"/>
                <w:sz w:val="24"/>
              </w:rPr>
              <w:t>2.2.6</w:t>
            </w:r>
          </w:p>
        </w:tc>
        <w:tc>
          <w:tcPr>
            <w:tcW w:w="1761" w:type="dxa"/>
          </w:tcPr>
          <w:p>
            <w:pPr>
              <w:pStyle w:val="TableParagraph"/>
              <w:spacing w:line="216" w:lineRule="auto"/>
              <w:ind w:left="108" w:right="265"/>
              <w:rPr>
                <w:sz w:val="24"/>
              </w:rPr>
            </w:pPr>
            <w:r>
              <w:rPr>
                <w:sz w:val="24"/>
              </w:rPr>
              <w:t>Reporting</w:t>
            </w:r>
            <w:r>
              <w:rPr>
                <w:spacing w:val="-17"/>
                <w:sz w:val="24"/>
              </w:rPr>
              <w:t> </w:t>
            </w:r>
            <w:r>
              <w:rPr>
                <w:sz w:val="24"/>
              </w:rPr>
              <w:t>on </w:t>
            </w:r>
            <w:r>
              <w:rPr>
                <w:spacing w:val="-4"/>
                <w:sz w:val="24"/>
              </w:rPr>
              <w:t>Debt</w:t>
            </w:r>
          </w:p>
        </w:tc>
        <w:tc>
          <w:tcPr>
            <w:tcW w:w="1984" w:type="dxa"/>
          </w:tcPr>
          <w:p>
            <w:pPr>
              <w:pStyle w:val="TableParagraph"/>
              <w:spacing w:line="244" w:lineRule="exact"/>
              <w:ind w:left="107"/>
              <w:rPr>
                <w:sz w:val="24"/>
              </w:rPr>
            </w:pPr>
            <w:r>
              <w:rPr>
                <w:spacing w:val="-2"/>
                <w:sz w:val="24"/>
              </w:rPr>
              <w:t>2.2.6.1</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61"/>
              <w:rPr>
                <w:sz w:val="24"/>
              </w:rPr>
            </w:pPr>
            <w:r>
              <w:rPr>
                <w:sz w:val="24"/>
              </w:rPr>
              <w:t>Provide</w:t>
            </w:r>
            <w:r>
              <w:rPr>
                <w:spacing w:val="-14"/>
                <w:sz w:val="24"/>
              </w:rPr>
              <w:t> </w:t>
            </w:r>
            <w:r>
              <w:rPr>
                <w:sz w:val="24"/>
              </w:rPr>
              <w:t>receivable</w:t>
            </w:r>
            <w:r>
              <w:rPr>
                <w:spacing w:val="-14"/>
                <w:sz w:val="24"/>
              </w:rPr>
              <w:t> </w:t>
            </w:r>
            <w:r>
              <w:rPr>
                <w:sz w:val="24"/>
              </w:rPr>
              <w:t>and</w:t>
            </w:r>
            <w:r>
              <w:rPr>
                <w:spacing w:val="-13"/>
                <w:sz w:val="24"/>
              </w:rPr>
              <w:t> </w:t>
            </w:r>
            <w:r>
              <w:rPr>
                <w:sz w:val="24"/>
              </w:rPr>
              <w:t>collection status data to support the receivable and collection reporting activities as defined in OMB Circular No. A-129 and as specified in the TFM.</w:t>
            </w:r>
          </w:p>
        </w:tc>
        <w:tc>
          <w:tcPr>
            <w:tcW w:w="6628" w:type="dxa"/>
          </w:tcPr>
          <w:p>
            <w:pPr>
              <w:pStyle w:val="TableParagraph"/>
              <w:numPr>
                <w:ilvl w:val="0"/>
                <w:numId w:val="60"/>
              </w:numPr>
              <w:tabs>
                <w:tab w:pos="328" w:val="left" w:leader="none"/>
              </w:tabs>
              <w:spacing w:line="216" w:lineRule="auto" w:before="0" w:after="0"/>
              <w:ind w:left="327" w:right="287" w:hanging="216"/>
              <w:jc w:val="left"/>
              <w:rPr>
                <w:sz w:val="24"/>
              </w:rPr>
            </w:pPr>
            <w:r>
              <w:rPr>
                <w:sz w:val="24"/>
              </w:rPr>
              <w:t>TFM</w:t>
            </w:r>
            <w:r>
              <w:rPr>
                <w:spacing w:val="-3"/>
                <w:sz w:val="24"/>
              </w:rPr>
              <w:t> </w:t>
            </w:r>
            <w:hyperlink r:id="rId64">
              <w:r>
                <w:rPr>
                  <w:color w:val="0000FF"/>
                  <w:sz w:val="24"/>
                </w:rPr>
                <w:t>Volume</w:t>
              </w:r>
              <w:r>
                <w:rPr>
                  <w:color w:val="0000FF"/>
                  <w:spacing w:val="-4"/>
                  <w:sz w:val="24"/>
                </w:rPr>
                <w:t> </w:t>
              </w:r>
              <w:r>
                <w:rPr>
                  <w:color w:val="0000FF"/>
                  <w:sz w:val="24"/>
                </w:rPr>
                <w:t>I,</w:t>
              </w:r>
              <w:r>
                <w:rPr>
                  <w:color w:val="0000FF"/>
                  <w:spacing w:val="-5"/>
                  <w:sz w:val="24"/>
                </w:rPr>
                <w:t> </w:t>
              </w:r>
              <w:r>
                <w:rPr>
                  <w:color w:val="0000FF"/>
                  <w:sz w:val="24"/>
                </w:rPr>
                <w:t>Part</w:t>
              </w:r>
              <w:r>
                <w:rPr>
                  <w:color w:val="0000FF"/>
                  <w:spacing w:val="-6"/>
                  <w:sz w:val="24"/>
                </w:rPr>
                <w:t> </w:t>
              </w:r>
              <w:r>
                <w:rPr>
                  <w:color w:val="0000FF"/>
                  <w:sz w:val="24"/>
                </w:rPr>
                <w:t>3,</w:t>
              </w:r>
              <w:r>
                <w:rPr>
                  <w:color w:val="0000FF"/>
                  <w:spacing w:val="-4"/>
                  <w:sz w:val="24"/>
                </w:rPr>
                <w:t> </w:t>
              </w:r>
              <w:r>
                <w:rPr>
                  <w:color w:val="0000FF"/>
                  <w:sz w:val="24"/>
                </w:rPr>
                <w:t>Chapter</w:t>
              </w:r>
              <w:r>
                <w:rPr>
                  <w:color w:val="0000FF"/>
                  <w:spacing w:val="-5"/>
                  <w:sz w:val="24"/>
                </w:rPr>
                <w:t> </w:t>
              </w:r>
              <w:r>
                <w:rPr>
                  <w:color w:val="0000FF"/>
                  <w:sz w:val="24"/>
                </w:rPr>
                <w:t>7000</w:t>
              </w:r>
            </w:hyperlink>
            <w:r>
              <w:rPr>
                <w:color w:val="0000FF"/>
                <w:spacing w:val="-4"/>
                <w:sz w:val="24"/>
              </w:rPr>
              <w:t> </w:t>
            </w:r>
            <w:r>
              <w:rPr>
                <w:sz w:val="24"/>
              </w:rPr>
              <w:t>Treasury</w:t>
            </w:r>
            <w:r>
              <w:rPr>
                <w:spacing w:val="-4"/>
                <w:sz w:val="24"/>
              </w:rPr>
              <w:t> </w:t>
            </w:r>
            <w:r>
              <w:rPr>
                <w:sz w:val="24"/>
              </w:rPr>
              <w:t>Report</w:t>
            </w:r>
            <w:r>
              <w:rPr>
                <w:spacing w:val="-5"/>
                <w:sz w:val="24"/>
              </w:rPr>
              <w:t> </w:t>
            </w:r>
            <w:r>
              <w:rPr>
                <w:sz w:val="24"/>
              </w:rPr>
              <w:t>on Receivables (TROR);</w:t>
            </w:r>
          </w:p>
          <w:p>
            <w:pPr>
              <w:pStyle w:val="TableParagraph"/>
              <w:numPr>
                <w:ilvl w:val="0"/>
                <w:numId w:val="60"/>
              </w:numPr>
              <w:tabs>
                <w:tab w:pos="328" w:val="left" w:leader="none"/>
              </w:tabs>
              <w:spacing w:line="216" w:lineRule="auto" w:before="0" w:after="0"/>
              <w:ind w:left="327" w:right="247" w:hanging="216"/>
              <w:jc w:val="left"/>
              <w:rPr>
                <w:sz w:val="24"/>
              </w:rPr>
            </w:pPr>
            <w:r>
              <w:rPr>
                <w:sz w:val="24"/>
              </w:rPr>
              <w:t>TFM </w:t>
            </w:r>
            <w:hyperlink r:id="rId64">
              <w:r>
                <w:rPr>
                  <w:color w:val="0000FF"/>
                  <w:sz w:val="24"/>
                </w:rPr>
                <w:t>Volume I, Part 3, Chapter 7000</w:t>
              </w:r>
            </w:hyperlink>
            <w:r>
              <w:rPr>
                <w:color w:val="0000FF"/>
                <w:sz w:val="24"/>
              </w:rPr>
              <w:t> </w:t>
            </w:r>
            <w:r>
              <w:rPr>
                <w:sz w:val="24"/>
              </w:rPr>
              <w:t>Section 7120, Reporting</w:t>
            </w:r>
            <w:r>
              <w:rPr>
                <w:spacing w:val="-8"/>
                <w:sz w:val="24"/>
              </w:rPr>
              <w:t> </w:t>
            </w:r>
            <w:r>
              <w:rPr>
                <w:sz w:val="24"/>
              </w:rPr>
              <w:t>Requirements,</w:t>
            </w:r>
            <w:r>
              <w:rPr>
                <w:spacing w:val="-8"/>
                <w:sz w:val="24"/>
              </w:rPr>
              <w:t> </w:t>
            </w:r>
            <w:r>
              <w:rPr>
                <w:sz w:val="24"/>
              </w:rPr>
              <w:t>and</w:t>
            </w:r>
            <w:r>
              <w:rPr>
                <w:spacing w:val="-9"/>
                <w:sz w:val="24"/>
              </w:rPr>
              <w:t> </w:t>
            </w:r>
            <w:r>
              <w:rPr>
                <w:sz w:val="24"/>
              </w:rPr>
              <w:t>the</w:t>
            </w:r>
            <w:r>
              <w:rPr>
                <w:spacing w:val="-9"/>
                <w:sz w:val="24"/>
              </w:rPr>
              <w:t> </w:t>
            </w:r>
            <w:hyperlink r:id="rId65">
              <w:r>
                <w:rPr>
                  <w:i/>
                  <w:color w:val="0000FF"/>
                  <w:sz w:val="24"/>
                </w:rPr>
                <w:t>Instructional</w:t>
              </w:r>
              <w:r>
                <w:rPr>
                  <w:i/>
                  <w:color w:val="0000FF"/>
                  <w:spacing w:val="-9"/>
                  <w:sz w:val="24"/>
                </w:rPr>
                <w:t> </w:t>
              </w:r>
              <w:r>
                <w:rPr>
                  <w:i/>
                  <w:color w:val="0000FF"/>
                  <w:sz w:val="24"/>
                </w:rPr>
                <w:t>Workbook</w:t>
              </w:r>
            </w:hyperlink>
            <w:r>
              <w:rPr>
                <w:i/>
                <w:color w:val="0000FF"/>
                <w:sz w:val="24"/>
              </w:rPr>
              <w:t> </w:t>
            </w:r>
            <w:hyperlink r:id="rId65">
              <w:r>
                <w:rPr>
                  <w:i/>
                  <w:color w:val="0000FF"/>
                  <w:sz w:val="24"/>
                </w:rPr>
                <w:t>for Preparing the Treasury Report on</w:t>
              </w:r>
            </w:hyperlink>
            <w:r>
              <w:rPr>
                <w:i/>
                <w:color w:val="0000FF"/>
                <w:sz w:val="24"/>
              </w:rPr>
              <w:t> </w:t>
            </w:r>
            <w:hyperlink r:id="rId65">
              <w:r>
                <w:rPr>
                  <w:i/>
                  <w:color w:val="0000FF"/>
                  <w:sz w:val="24"/>
                </w:rPr>
                <w:t>Receivables and</w:t>
              </w:r>
            </w:hyperlink>
            <w:r>
              <w:rPr>
                <w:i/>
                <w:color w:val="0000FF"/>
                <w:sz w:val="24"/>
              </w:rPr>
              <w:t> </w:t>
            </w:r>
            <w:hyperlink r:id="rId65">
              <w:r>
                <w:rPr>
                  <w:i/>
                  <w:color w:val="0000FF"/>
                  <w:sz w:val="24"/>
                </w:rPr>
                <w:t>Debt Collection Activities, Parts I and II</w:t>
              </w:r>
            </w:hyperlink>
            <w:r>
              <w:rPr>
                <w:i/>
                <w:color w:val="0000FF"/>
                <w:sz w:val="24"/>
              </w:rPr>
              <w:t> </w:t>
            </w:r>
            <w:r>
              <w:rPr>
                <w:sz w:val="24"/>
              </w:rPr>
              <w:t>referenced </w:t>
            </w:r>
            <w:r>
              <w:rPr>
                <w:spacing w:val="-2"/>
                <w:sz w:val="24"/>
              </w:rPr>
              <w:t>therein;</w:t>
            </w:r>
          </w:p>
          <w:p>
            <w:pPr>
              <w:pStyle w:val="TableParagraph"/>
              <w:numPr>
                <w:ilvl w:val="0"/>
                <w:numId w:val="60"/>
              </w:numPr>
              <w:tabs>
                <w:tab w:pos="328" w:val="left" w:leader="none"/>
              </w:tabs>
              <w:spacing w:line="216" w:lineRule="auto" w:before="0" w:after="0"/>
              <w:ind w:left="327" w:right="807" w:hanging="216"/>
              <w:jc w:val="left"/>
              <w:rPr>
                <w:sz w:val="24"/>
              </w:rPr>
            </w:pPr>
            <w:hyperlink r:id="rId41">
              <w:r>
                <w:rPr>
                  <w:color w:val="0000FF"/>
                  <w:sz w:val="24"/>
                </w:rPr>
                <w:t>OMB</w:t>
              </w:r>
            </w:hyperlink>
            <w:r>
              <w:rPr>
                <w:color w:val="0000FF"/>
                <w:spacing w:val="-6"/>
                <w:sz w:val="24"/>
              </w:rPr>
              <w:t> </w:t>
            </w:r>
            <w:r>
              <w:rPr>
                <w:sz w:val="24"/>
              </w:rPr>
              <w:t>Circular</w:t>
            </w:r>
            <w:r>
              <w:rPr>
                <w:spacing w:val="-5"/>
                <w:sz w:val="24"/>
              </w:rPr>
              <w:t> </w:t>
            </w:r>
            <w:r>
              <w:rPr>
                <w:sz w:val="24"/>
              </w:rPr>
              <w:t>No.</w:t>
            </w:r>
            <w:r>
              <w:rPr>
                <w:spacing w:val="-5"/>
                <w:sz w:val="24"/>
              </w:rPr>
              <w:t> </w:t>
            </w:r>
            <w:r>
              <w:rPr>
                <w:sz w:val="24"/>
              </w:rPr>
              <w:t>A-129,</w:t>
            </w:r>
            <w:r>
              <w:rPr>
                <w:spacing w:val="-6"/>
                <w:sz w:val="24"/>
              </w:rPr>
              <w:t> </w:t>
            </w:r>
            <w:r>
              <w:rPr>
                <w:sz w:val="24"/>
              </w:rPr>
              <w:t>Policies</w:t>
            </w:r>
            <w:r>
              <w:rPr>
                <w:spacing w:val="-6"/>
                <w:sz w:val="24"/>
              </w:rPr>
              <w:t> </w:t>
            </w:r>
            <w:r>
              <w:rPr>
                <w:sz w:val="24"/>
              </w:rPr>
              <w:t>for</w:t>
            </w:r>
            <w:r>
              <w:rPr>
                <w:spacing w:val="-6"/>
                <w:sz w:val="24"/>
              </w:rPr>
              <w:t> </w:t>
            </w:r>
            <w:r>
              <w:rPr>
                <w:sz w:val="24"/>
              </w:rPr>
              <w:t>Federal</w:t>
            </w:r>
            <w:r>
              <w:rPr>
                <w:spacing w:val="-6"/>
                <w:sz w:val="24"/>
              </w:rPr>
              <w:t> </w:t>
            </w:r>
            <w:r>
              <w:rPr>
                <w:sz w:val="24"/>
              </w:rPr>
              <w:t>Credit Programs and Non-Tax Receivables, Appendix A,</w:t>
            </w:r>
          </w:p>
          <w:p>
            <w:pPr>
              <w:pStyle w:val="TableParagraph"/>
              <w:spacing w:line="248" w:lineRule="exact"/>
              <w:rPr>
                <w:sz w:val="24"/>
              </w:rPr>
            </w:pPr>
            <w:r>
              <w:rPr>
                <w:sz w:val="24"/>
              </w:rPr>
              <w:t>Program</w:t>
            </w:r>
            <w:r>
              <w:rPr>
                <w:spacing w:val="-6"/>
                <w:sz w:val="24"/>
              </w:rPr>
              <w:t> </w:t>
            </w:r>
            <w:r>
              <w:rPr>
                <w:sz w:val="24"/>
              </w:rPr>
              <w:t>Reviews,</w:t>
            </w:r>
            <w:r>
              <w:rPr>
                <w:spacing w:val="-6"/>
                <w:sz w:val="24"/>
              </w:rPr>
              <w:t> </w:t>
            </w:r>
            <w:r>
              <w:rPr>
                <w:sz w:val="24"/>
              </w:rPr>
              <w:t>Part</w:t>
            </w:r>
            <w:r>
              <w:rPr>
                <w:spacing w:val="-8"/>
                <w:sz w:val="24"/>
              </w:rPr>
              <w:t> </w:t>
            </w:r>
            <w:r>
              <w:rPr>
                <w:sz w:val="24"/>
              </w:rPr>
              <w:t>IV,</w:t>
            </w:r>
            <w:r>
              <w:rPr>
                <w:spacing w:val="-8"/>
                <w:sz w:val="24"/>
              </w:rPr>
              <w:t> </w:t>
            </w:r>
            <w:r>
              <w:rPr>
                <w:sz w:val="24"/>
              </w:rPr>
              <w:t>Managing</w:t>
            </w:r>
            <w:r>
              <w:rPr>
                <w:spacing w:val="-7"/>
                <w:sz w:val="24"/>
              </w:rPr>
              <w:t> </w:t>
            </w:r>
            <w:r>
              <w:rPr>
                <w:sz w:val="24"/>
              </w:rPr>
              <w:t>the</w:t>
            </w:r>
            <w:r>
              <w:rPr>
                <w:spacing w:val="-7"/>
                <w:sz w:val="24"/>
              </w:rPr>
              <w:t> </w:t>
            </w:r>
            <w:r>
              <w:rPr>
                <w:sz w:val="24"/>
              </w:rPr>
              <w:t>Federal Government's Receivables.</w:t>
            </w:r>
          </w:p>
        </w:tc>
      </w:tr>
    </w:tbl>
    <w:p>
      <w:pPr>
        <w:spacing w:after="0" w:line="248" w:lineRule="exact"/>
        <w:rPr>
          <w:sz w:val="24"/>
        </w:rPr>
        <w:sectPr>
          <w:pgSz w:w="20160" w:h="12240" w:orient="landscape"/>
          <w:pgMar w:header="288" w:footer="728" w:top="1380" w:bottom="1558"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1986" w:hRule="atLeast"/>
        </w:trPr>
        <w:tc>
          <w:tcPr>
            <w:tcW w:w="1525" w:type="dxa"/>
          </w:tcPr>
          <w:p>
            <w:pPr>
              <w:pStyle w:val="TableParagraph"/>
              <w:ind w:left="0"/>
              <w:rPr>
                <w:rFonts w:ascii="Times New Roman"/>
                <w:sz w:val="22"/>
              </w:rPr>
            </w:pPr>
          </w:p>
        </w:tc>
        <w:tc>
          <w:tcPr>
            <w:tcW w:w="1761" w:type="dxa"/>
          </w:tcPr>
          <w:p>
            <w:pPr>
              <w:pStyle w:val="TableParagraph"/>
              <w:ind w:left="0"/>
              <w:rPr>
                <w:rFonts w:ascii="Times New Roman"/>
                <w:sz w:val="22"/>
              </w:rPr>
            </w:pPr>
          </w:p>
        </w:tc>
        <w:tc>
          <w:tcPr>
            <w:tcW w:w="1984" w:type="dxa"/>
          </w:tcPr>
          <w:p>
            <w:pPr>
              <w:pStyle w:val="TableParagraph"/>
              <w:spacing w:line="244" w:lineRule="exact"/>
              <w:ind w:left="107"/>
              <w:rPr>
                <w:sz w:val="24"/>
              </w:rPr>
            </w:pPr>
            <w:r>
              <w:rPr>
                <w:spacing w:val="-2"/>
                <w:sz w:val="24"/>
              </w:rPr>
              <w:t>2.2.6.2</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45"/>
              <w:rPr>
                <w:sz w:val="24"/>
              </w:rPr>
            </w:pPr>
            <w:r>
              <w:rPr>
                <w:sz w:val="24"/>
              </w:rPr>
              <w:t>Provide</w:t>
            </w:r>
            <w:r>
              <w:rPr>
                <w:spacing w:val="-14"/>
                <w:sz w:val="24"/>
              </w:rPr>
              <w:t> </w:t>
            </w:r>
            <w:r>
              <w:rPr>
                <w:sz w:val="24"/>
              </w:rPr>
              <w:t>deposit</w:t>
            </w:r>
            <w:r>
              <w:rPr>
                <w:spacing w:val="-13"/>
                <w:sz w:val="24"/>
              </w:rPr>
              <w:t> </w:t>
            </w:r>
            <w:r>
              <w:rPr>
                <w:sz w:val="24"/>
              </w:rPr>
              <w:t>summary</w:t>
            </w:r>
            <w:r>
              <w:rPr>
                <w:spacing w:val="-14"/>
                <w:sz w:val="24"/>
              </w:rPr>
              <w:t> </w:t>
            </w:r>
            <w:r>
              <w:rPr>
                <w:sz w:val="24"/>
              </w:rPr>
              <w:t>and detail data [for example Statement of Transactions, Statement of Transactions According to Appropriations, Funds and Receipt Accounts (Foreign</w:t>
            </w:r>
            <w:r>
              <w:rPr>
                <w:spacing w:val="-9"/>
                <w:sz w:val="24"/>
              </w:rPr>
              <w:t> </w:t>
            </w:r>
            <w:r>
              <w:rPr>
                <w:sz w:val="24"/>
              </w:rPr>
              <w:t>Service</w:t>
            </w:r>
            <w:r>
              <w:rPr>
                <w:spacing w:val="-9"/>
                <w:sz w:val="24"/>
              </w:rPr>
              <w:t> </w:t>
            </w:r>
            <w:r>
              <w:rPr>
                <w:sz w:val="24"/>
              </w:rPr>
              <w:t>Account)]</w:t>
            </w:r>
            <w:r>
              <w:rPr>
                <w:spacing w:val="-8"/>
                <w:sz w:val="24"/>
              </w:rPr>
              <w:t> </w:t>
            </w:r>
            <w:r>
              <w:rPr>
                <w:sz w:val="24"/>
              </w:rPr>
              <w:t>as</w:t>
            </w:r>
          </w:p>
          <w:p>
            <w:pPr>
              <w:pStyle w:val="TableParagraph"/>
              <w:spacing w:line="238" w:lineRule="exact"/>
              <w:ind w:left="110"/>
              <w:rPr>
                <w:sz w:val="24"/>
              </w:rPr>
            </w:pPr>
            <w:r>
              <w:rPr>
                <w:sz w:val="24"/>
              </w:rPr>
              <w:t>specified</w:t>
            </w:r>
            <w:r>
              <w:rPr>
                <w:spacing w:val="-5"/>
                <w:sz w:val="24"/>
              </w:rPr>
              <w:t> </w:t>
            </w:r>
            <w:r>
              <w:rPr>
                <w:sz w:val="24"/>
              </w:rPr>
              <w:t>in</w:t>
            </w:r>
            <w:r>
              <w:rPr>
                <w:spacing w:val="-1"/>
                <w:sz w:val="24"/>
              </w:rPr>
              <w:t> </w:t>
            </w:r>
            <w:r>
              <w:rPr>
                <w:sz w:val="24"/>
              </w:rPr>
              <w:t>the</w:t>
            </w:r>
            <w:r>
              <w:rPr>
                <w:spacing w:val="-2"/>
                <w:sz w:val="24"/>
              </w:rPr>
              <w:t> </w:t>
            </w:r>
            <w:r>
              <w:rPr>
                <w:spacing w:val="-4"/>
                <w:sz w:val="24"/>
              </w:rPr>
              <w:t>TFM.</w:t>
            </w:r>
          </w:p>
        </w:tc>
        <w:tc>
          <w:tcPr>
            <w:tcW w:w="6628" w:type="dxa"/>
          </w:tcPr>
          <w:p>
            <w:pPr>
              <w:pStyle w:val="TableParagraph"/>
              <w:numPr>
                <w:ilvl w:val="0"/>
                <w:numId w:val="61"/>
              </w:numPr>
              <w:tabs>
                <w:tab w:pos="328" w:val="left" w:leader="none"/>
              </w:tabs>
              <w:spacing w:line="247" w:lineRule="exact" w:before="0" w:after="0"/>
              <w:ind w:left="327" w:right="0" w:hanging="217"/>
              <w:jc w:val="left"/>
              <w:rPr>
                <w:sz w:val="24"/>
              </w:rPr>
            </w:pPr>
            <w:r>
              <w:rPr>
                <w:sz w:val="24"/>
              </w:rPr>
              <w:t>TFM</w:t>
            </w:r>
            <w:r>
              <w:rPr>
                <w:spacing w:val="-2"/>
                <w:sz w:val="24"/>
              </w:rPr>
              <w:t> </w:t>
            </w:r>
            <w:hyperlink r:id="rId67">
              <w:r>
                <w:rPr>
                  <w:color w:val="0000FF"/>
                  <w:sz w:val="24"/>
                </w:rPr>
                <w:t>Volume</w:t>
              </w:r>
              <w:r>
                <w:rPr>
                  <w:color w:val="0000FF"/>
                  <w:spacing w:val="-2"/>
                  <w:sz w:val="24"/>
                </w:rPr>
                <w:t> </w:t>
              </w:r>
              <w:r>
                <w:rPr>
                  <w:color w:val="0000FF"/>
                  <w:sz w:val="24"/>
                </w:rPr>
                <w:t>I,</w:t>
              </w:r>
              <w:r>
                <w:rPr>
                  <w:color w:val="0000FF"/>
                  <w:spacing w:val="-3"/>
                  <w:sz w:val="24"/>
                </w:rPr>
                <w:t> </w:t>
              </w:r>
              <w:r>
                <w:rPr>
                  <w:color w:val="0000FF"/>
                  <w:sz w:val="24"/>
                </w:rPr>
                <w:t>Part</w:t>
              </w:r>
              <w:r>
                <w:rPr>
                  <w:color w:val="0000FF"/>
                  <w:spacing w:val="-4"/>
                  <w:sz w:val="24"/>
                </w:rPr>
                <w:t> </w:t>
              </w:r>
              <w:r>
                <w:rPr>
                  <w:color w:val="0000FF"/>
                  <w:sz w:val="24"/>
                </w:rPr>
                <w:t>5</w:t>
              </w:r>
            </w:hyperlink>
            <w:r>
              <w:rPr>
                <w:color w:val="0000FF"/>
                <w:spacing w:val="-2"/>
                <w:sz w:val="24"/>
              </w:rPr>
              <w:t> </w:t>
            </w:r>
            <w:r>
              <w:rPr>
                <w:sz w:val="24"/>
              </w:rPr>
              <w:t>Deposit</w:t>
            </w:r>
            <w:r>
              <w:rPr>
                <w:spacing w:val="-1"/>
                <w:sz w:val="24"/>
              </w:rPr>
              <w:t> </w:t>
            </w:r>
            <w:r>
              <w:rPr>
                <w:spacing w:val="-2"/>
                <w:sz w:val="24"/>
              </w:rPr>
              <w:t>Regulations;</w:t>
            </w:r>
          </w:p>
          <w:p>
            <w:pPr>
              <w:pStyle w:val="TableParagraph"/>
              <w:numPr>
                <w:ilvl w:val="0"/>
                <w:numId w:val="61"/>
              </w:numPr>
              <w:tabs>
                <w:tab w:pos="328" w:val="left" w:leader="none"/>
              </w:tabs>
              <w:spacing w:line="216" w:lineRule="auto" w:before="9" w:after="0"/>
              <w:ind w:left="327" w:right="325" w:hanging="216"/>
              <w:jc w:val="left"/>
              <w:rPr>
                <w:sz w:val="24"/>
              </w:rPr>
            </w:pPr>
            <w:r>
              <w:rPr>
                <w:sz w:val="24"/>
              </w:rPr>
              <w:t>TFM </w:t>
            </w:r>
            <w:hyperlink r:id="rId63">
              <w:r>
                <w:rPr>
                  <w:color w:val="0000FF"/>
                  <w:sz w:val="24"/>
                </w:rPr>
                <w:t>Volume I, Part 2, Chapter 3300</w:t>
              </w:r>
            </w:hyperlink>
            <w:r>
              <w:rPr>
                <w:color w:val="0000FF"/>
                <w:sz w:val="24"/>
              </w:rPr>
              <w:t> </w:t>
            </w:r>
            <w:r>
              <w:rPr>
                <w:sz w:val="24"/>
              </w:rPr>
              <w:t>Statement of Transactions</w:t>
            </w:r>
            <w:r>
              <w:rPr>
                <w:spacing w:val="-6"/>
                <w:sz w:val="24"/>
              </w:rPr>
              <w:t> </w:t>
            </w:r>
            <w:r>
              <w:rPr>
                <w:sz w:val="24"/>
              </w:rPr>
              <w:t>(224)</w:t>
            </w:r>
            <w:r>
              <w:rPr>
                <w:spacing w:val="-6"/>
                <w:sz w:val="24"/>
              </w:rPr>
              <w:t> </w:t>
            </w:r>
            <w:r>
              <w:rPr>
                <w:sz w:val="24"/>
              </w:rPr>
              <w:t>Reporting</w:t>
            </w:r>
            <w:r>
              <w:rPr>
                <w:spacing w:val="-6"/>
                <w:sz w:val="24"/>
              </w:rPr>
              <w:t> </w:t>
            </w:r>
            <w:r>
              <w:rPr>
                <w:sz w:val="24"/>
              </w:rPr>
              <w:t>by</w:t>
            </w:r>
            <w:r>
              <w:rPr>
                <w:spacing w:val="-5"/>
                <w:sz w:val="24"/>
              </w:rPr>
              <w:t> </w:t>
            </w:r>
            <w:r>
              <w:rPr>
                <w:sz w:val="24"/>
              </w:rPr>
              <w:t>Agencies</w:t>
            </w:r>
            <w:r>
              <w:rPr>
                <w:spacing w:val="-6"/>
                <w:sz w:val="24"/>
              </w:rPr>
              <w:t> </w:t>
            </w:r>
            <w:r>
              <w:rPr>
                <w:sz w:val="24"/>
              </w:rPr>
              <w:t>for</w:t>
            </w:r>
            <w:r>
              <w:rPr>
                <w:spacing w:val="-6"/>
                <w:sz w:val="24"/>
              </w:rPr>
              <w:t> </w:t>
            </w:r>
            <w:r>
              <w:rPr>
                <w:sz w:val="24"/>
              </w:rPr>
              <w:t>Which</w:t>
            </w:r>
            <w:r>
              <w:rPr>
                <w:spacing w:val="-6"/>
                <w:sz w:val="24"/>
              </w:rPr>
              <w:t> </w:t>
            </w:r>
            <w:r>
              <w:rPr>
                <w:sz w:val="24"/>
              </w:rPr>
              <w:t>the Treasury</w:t>
            </w:r>
            <w:r>
              <w:rPr>
                <w:spacing w:val="-26"/>
                <w:sz w:val="24"/>
              </w:rPr>
              <w:t> </w:t>
            </w:r>
            <w:r>
              <w:rPr>
                <w:sz w:val="24"/>
              </w:rPr>
              <w:t>Disburses.</w:t>
            </w:r>
          </w:p>
        </w:tc>
      </w:tr>
      <w:tr>
        <w:trPr>
          <w:trHeight w:val="994" w:hRule="atLeast"/>
        </w:trPr>
        <w:tc>
          <w:tcPr>
            <w:tcW w:w="1525" w:type="dxa"/>
            <w:vMerge w:val="restart"/>
          </w:tcPr>
          <w:p>
            <w:pPr>
              <w:pStyle w:val="TableParagraph"/>
              <w:spacing w:line="245" w:lineRule="exact"/>
              <w:ind w:left="107"/>
              <w:rPr>
                <w:sz w:val="24"/>
              </w:rPr>
            </w:pPr>
            <w:r>
              <w:rPr>
                <w:spacing w:val="-4"/>
                <w:sz w:val="24"/>
              </w:rPr>
              <w:t>2.3.1</w:t>
            </w:r>
          </w:p>
        </w:tc>
        <w:tc>
          <w:tcPr>
            <w:tcW w:w="1761" w:type="dxa"/>
            <w:vMerge w:val="restart"/>
          </w:tcPr>
          <w:p>
            <w:pPr>
              <w:pStyle w:val="TableParagraph"/>
              <w:spacing w:line="216" w:lineRule="auto"/>
              <w:ind w:left="108" w:right="146"/>
              <w:rPr>
                <w:sz w:val="24"/>
              </w:rPr>
            </w:pPr>
            <w:r>
              <w:rPr>
                <w:spacing w:val="-2"/>
                <w:sz w:val="24"/>
              </w:rPr>
              <w:t>Reconciling </w:t>
            </w:r>
            <w:r>
              <w:rPr>
                <w:sz w:val="24"/>
              </w:rPr>
              <w:t>Fund</w:t>
            </w:r>
            <w:r>
              <w:rPr>
                <w:spacing w:val="-17"/>
                <w:sz w:val="24"/>
              </w:rPr>
              <w:t> </w:t>
            </w:r>
            <w:r>
              <w:rPr>
                <w:sz w:val="24"/>
              </w:rPr>
              <w:t>Balance With</w:t>
            </w:r>
            <w:r>
              <w:rPr>
                <w:spacing w:val="-1"/>
                <w:sz w:val="24"/>
              </w:rPr>
              <w:t> </w:t>
            </w:r>
            <w:r>
              <w:rPr>
                <w:spacing w:val="-2"/>
                <w:sz w:val="24"/>
              </w:rPr>
              <w:t>Treasury</w:t>
            </w:r>
          </w:p>
        </w:tc>
        <w:tc>
          <w:tcPr>
            <w:tcW w:w="1984" w:type="dxa"/>
          </w:tcPr>
          <w:p>
            <w:pPr>
              <w:pStyle w:val="TableParagraph"/>
              <w:spacing w:line="245" w:lineRule="exact"/>
              <w:ind w:left="107"/>
              <w:rPr>
                <w:sz w:val="24"/>
              </w:rPr>
            </w:pPr>
            <w:r>
              <w:rPr>
                <w:spacing w:val="-2"/>
                <w:sz w:val="24"/>
              </w:rPr>
              <w:t>2.3.1.1</w:t>
            </w:r>
          </w:p>
        </w:tc>
        <w:tc>
          <w:tcPr>
            <w:tcW w:w="1534" w:type="dxa"/>
          </w:tcPr>
          <w:p>
            <w:pPr>
              <w:pStyle w:val="TableParagraph"/>
              <w:spacing w:line="245" w:lineRule="exact"/>
              <w:ind w:left="109"/>
              <w:rPr>
                <w:sz w:val="24"/>
              </w:rPr>
            </w:pPr>
            <w:r>
              <w:rPr>
                <w:spacing w:val="-5"/>
                <w:sz w:val="24"/>
              </w:rPr>
              <w:t>DI</w:t>
            </w:r>
          </w:p>
        </w:tc>
        <w:tc>
          <w:tcPr>
            <w:tcW w:w="3834" w:type="dxa"/>
          </w:tcPr>
          <w:p>
            <w:pPr>
              <w:pStyle w:val="TableParagraph"/>
              <w:spacing w:line="216" w:lineRule="auto"/>
              <w:ind w:left="110" w:right="145"/>
              <w:rPr>
                <w:sz w:val="24"/>
              </w:rPr>
            </w:pPr>
            <w:r>
              <w:rPr>
                <w:sz w:val="24"/>
              </w:rPr>
              <w:t>Capture Treasury's GL account balance</w:t>
            </w:r>
            <w:r>
              <w:rPr>
                <w:spacing w:val="-10"/>
                <w:sz w:val="24"/>
              </w:rPr>
              <w:t> </w:t>
            </w:r>
            <w:r>
              <w:rPr>
                <w:sz w:val="24"/>
              </w:rPr>
              <w:t>and</w:t>
            </w:r>
            <w:r>
              <w:rPr>
                <w:spacing w:val="-10"/>
                <w:sz w:val="24"/>
              </w:rPr>
              <w:t> </w:t>
            </w:r>
            <w:r>
              <w:rPr>
                <w:sz w:val="24"/>
              </w:rPr>
              <w:t>transaction</w:t>
            </w:r>
            <w:r>
              <w:rPr>
                <w:spacing w:val="-10"/>
                <w:sz w:val="24"/>
              </w:rPr>
              <w:t> </w:t>
            </w:r>
            <w:r>
              <w:rPr>
                <w:sz w:val="24"/>
              </w:rPr>
              <w:t>data</w:t>
            </w:r>
            <w:r>
              <w:rPr>
                <w:spacing w:val="-10"/>
                <w:sz w:val="24"/>
              </w:rPr>
              <w:t> </w:t>
            </w:r>
            <w:r>
              <w:rPr>
                <w:sz w:val="24"/>
              </w:rPr>
              <w:t>for the agency as specified in the</w:t>
            </w:r>
          </w:p>
          <w:p>
            <w:pPr>
              <w:pStyle w:val="TableParagraph"/>
              <w:spacing w:line="238" w:lineRule="exact"/>
              <w:ind w:left="110"/>
              <w:rPr>
                <w:sz w:val="24"/>
              </w:rPr>
            </w:pPr>
            <w:r>
              <w:rPr>
                <w:spacing w:val="-4"/>
                <w:sz w:val="24"/>
              </w:rPr>
              <w:t>TFM.</w:t>
            </w:r>
          </w:p>
        </w:tc>
        <w:tc>
          <w:tcPr>
            <w:tcW w:w="6628" w:type="dxa"/>
          </w:tcPr>
          <w:p>
            <w:pPr>
              <w:pStyle w:val="TableParagraph"/>
              <w:numPr>
                <w:ilvl w:val="0"/>
                <w:numId w:val="62"/>
              </w:numPr>
              <w:tabs>
                <w:tab w:pos="328" w:val="left" w:leader="none"/>
              </w:tabs>
              <w:spacing w:line="213" w:lineRule="auto" w:before="0" w:after="0"/>
              <w:ind w:left="327" w:right="379" w:hanging="216"/>
              <w:jc w:val="left"/>
              <w:rPr>
                <w:sz w:val="24"/>
              </w:rPr>
            </w:pPr>
            <w:r>
              <w:rPr>
                <w:sz w:val="24"/>
              </w:rPr>
              <w:t>TFM</w:t>
            </w:r>
            <w:r>
              <w:rPr>
                <w:spacing w:val="-4"/>
                <w:sz w:val="24"/>
              </w:rPr>
              <w:t> </w:t>
            </w:r>
            <w:hyperlink r:id="rId61">
              <w:r>
                <w:rPr>
                  <w:color w:val="0000FF"/>
                  <w:sz w:val="24"/>
                </w:rPr>
                <w:t>Volume</w:t>
              </w:r>
              <w:r>
                <w:rPr>
                  <w:color w:val="0000FF"/>
                  <w:spacing w:val="-4"/>
                  <w:sz w:val="24"/>
                </w:rPr>
                <w:t> </w:t>
              </w:r>
              <w:r>
                <w:rPr>
                  <w:color w:val="0000FF"/>
                  <w:sz w:val="24"/>
                </w:rPr>
                <w:t>I,</w:t>
              </w:r>
              <w:r>
                <w:rPr>
                  <w:color w:val="0000FF"/>
                  <w:spacing w:val="-5"/>
                  <w:sz w:val="24"/>
                </w:rPr>
                <w:t> </w:t>
              </w:r>
              <w:r>
                <w:rPr>
                  <w:color w:val="0000FF"/>
                  <w:sz w:val="24"/>
                </w:rPr>
                <w:t>Part</w:t>
              </w:r>
              <w:r>
                <w:rPr>
                  <w:color w:val="0000FF"/>
                  <w:spacing w:val="-6"/>
                  <w:sz w:val="24"/>
                </w:rPr>
                <w:t> </w:t>
              </w:r>
              <w:r>
                <w:rPr>
                  <w:color w:val="0000FF"/>
                  <w:sz w:val="24"/>
                </w:rPr>
                <w:t>2,</w:t>
              </w:r>
              <w:r>
                <w:rPr>
                  <w:color w:val="0000FF"/>
                  <w:spacing w:val="-4"/>
                  <w:sz w:val="24"/>
                </w:rPr>
                <w:t> </w:t>
              </w:r>
              <w:r>
                <w:rPr>
                  <w:color w:val="0000FF"/>
                  <w:sz w:val="24"/>
                </w:rPr>
                <w:t>Chapter</w:t>
              </w:r>
              <w:r>
                <w:rPr>
                  <w:color w:val="0000FF"/>
                  <w:spacing w:val="-5"/>
                  <w:sz w:val="24"/>
                </w:rPr>
                <w:t> </w:t>
              </w:r>
              <w:r>
                <w:rPr>
                  <w:color w:val="0000FF"/>
                  <w:sz w:val="24"/>
                </w:rPr>
                <w:t>5100</w:t>
              </w:r>
            </w:hyperlink>
            <w:r>
              <w:rPr>
                <w:color w:val="0000FF"/>
                <w:spacing w:val="-4"/>
                <w:sz w:val="24"/>
              </w:rPr>
              <w:t> </w:t>
            </w:r>
            <w:r>
              <w:rPr>
                <w:sz w:val="24"/>
              </w:rPr>
              <w:t>Fund</w:t>
            </w:r>
            <w:r>
              <w:rPr>
                <w:spacing w:val="-4"/>
                <w:sz w:val="24"/>
              </w:rPr>
              <w:t> </w:t>
            </w:r>
            <w:r>
              <w:rPr>
                <w:sz w:val="24"/>
              </w:rPr>
              <w:t>Balance</w:t>
            </w:r>
            <w:r>
              <w:rPr>
                <w:spacing w:val="-4"/>
                <w:sz w:val="24"/>
              </w:rPr>
              <w:t> </w:t>
            </w:r>
            <w:r>
              <w:rPr>
                <w:sz w:val="24"/>
              </w:rPr>
              <w:t>with Treasury</w:t>
            </w:r>
            <w:r>
              <w:rPr>
                <w:spacing w:val="-12"/>
                <w:sz w:val="24"/>
              </w:rPr>
              <w:t> </w:t>
            </w:r>
            <w:r>
              <w:rPr>
                <w:sz w:val="24"/>
              </w:rPr>
              <w:t>Accounts.</w:t>
            </w:r>
          </w:p>
        </w:tc>
      </w:tr>
      <w:tr>
        <w:trPr>
          <w:trHeight w:val="1490"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2.3.1.2</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145"/>
              <w:rPr>
                <w:sz w:val="24"/>
              </w:rPr>
            </w:pPr>
            <w:r>
              <w:rPr>
                <w:sz w:val="24"/>
              </w:rPr>
              <w:t>Perform monthly reconciliation of Treasury</w:t>
            </w:r>
            <w:r>
              <w:rPr>
                <w:spacing w:val="-10"/>
                <w:sz w:val="24"/>
              </w:rPr>
              <w:t> </w:t>
            </w:r>
            <w:r>
              <w:rPr>
                <w:sz w:val="24"/>
              </w:rPr>
              <w:t>and</w:t>
            </w:r>
            <w:r>
              <w:rPr>
                <w:spacing w:val="-10"/>
                <w:sz w:val="24"/>
              </w:rPr>
              <w:t> </w:t>
            </w:r>
            <w:r>
              <w:rPr>
                <w:sz w:val="24"/>
              </w:rPr>
              <w:t>agency</w:t>
            </w:r>
            <w:r>
              <w:rPr>
                <w:spacing w:val="-10"/>
                <w:sz w:val="24"/>
              </w:rPr>
              <w:t> </w:t>
            </w:r>
            <w:r>
              <w:rPr>
                <w:sz w:val="24"/>
              </w:rPr>
              <w:t>GL</w:t>
            </w:r>
            <w:r>
              <w:rPr>
                <w:spacing w:val="-10"/>
                <w:sz w:val="24"/>
              </w:rPr>
              <w:t> </w:t>
            </w:r>
            <w:r>
              <w:rPr>
                <w:sz w:val="24"/>
              </w:rPr>
              <w:t>account balances and transactions consistent with the FASAB Handbook</w:t>
            </w:r>
            <w:r>
              <w:rPr>
                <w:spacing w:val="-8"/>
                <w:sz w:val="24"/>
              </w:rPr>
              <w:t> </w:t>
            </w:r>
            <w:r>
              <w:rPr>
                <w:sz w:val="24"/>
              </w:rPr>
              <w:t>and</w:t>
            </w:r>
            <w:r>
              <w:rPr>
                <w:spacing w:val="-8"/>
                <w:sz w:val="24"/>
              </w:rPr>
              <w:t> </w:t>
            </w:r>
            <w:r>
              <w:rPr>
                <w:sz w:val="24"/>
              </w:rPr>
              <w:t>as</w:t>
            </w:r>
            <w:r>
              <w:rPr>
                <w:spacing w:val="-8"/>
                <w:sz w:val="24"/>
              </w:rPr>
              <w:t> </w:t>
            </w:r>
            <w:r>
              <w:rPr>
                <w:sz w:val="24"/>
              </w:rPr>
              <w:t>specified</w:t>
            </w:r>
            <w:r>
              <w:rPr>
                <w:spacing w:val="-8"/>
                <w:sz w:val="24"/>
              </w:rPr>
              <w:t> </w:t>
            </w:r>
            <w:r>
              <w:rPr>
                <w:sz w:val="24"/>
              </w:rPr>
              <w:t>in</w:t>
            </w:r>
            <w:r>
              <w:rPr>
                <w:spacing w:val="-8"/>
                <w:sz w:val="24"/>
              </w:rPr>
              <w:t> </w:t>
            </w:r>
            <w:r>
              <w:rPr>
                <w:sz w:val="24"/>
              </w:rPr>
              <w:t>the</w:t>
            </w:r>
          </w:p>
          <w:p>
            <w:pPr>
              <w:pStyle w:val="TableParagraph"/>
              <w:spacing w:line="238" w:lineRule="exact"/>
              <w:ind w:left="110"/>
              <w:rPr>
                <w:sz w:val="24"/>
              </w:rPr>
            </w:pPr>
            <w:r>
              <w:rPr>
                <w:spacing w:val="-4"/>
                <w:sz w:val="24"/>
              </w:rPr>
              <w:t>TFM.</w:t>
            </w:r>
          </w:p>
        </w:tc>
        <w:tc>
          <w:tcPr>
            <w:tcW w:w="6628" w:type="dxa"/>
          </w:tcPr>
          <w:p>
            <w:pPr>
              <w:pStyle w:val="TableParagraph"/>
              <w:numPr>
                <w:ilvl w:val="0"/>
                <w:numId w:val="63"/>
              </w:numPr>
              <w:tabs>
                <w:tab w:pos="328" w:val="left" w:leader="none"/>
              </w:tabs>
              <w:spacing w:line="213" w:lineRule="auto" w:before="0" w:after="0"/>
              <w:ind w:left="327" w:right="379" w:hanging="216"/>
              <w:jc w:val="left"/>
              <w:rPr>
                <w:sz w:val="24"/>
              </w:rPr>
            </w:pPr>
            <w:r>
              <w:rPr>
                <w:sz w:val="24"/>
              </w:rPr>
              <w:t>TFM</w:t>
            </w:r>
            <w:r>
              <w:rPr>
                <w:spacing w:val="-4"/>
                <w:sz w:val="24"/>
              </w:rPr>
              <w:t> </w:t>
            </w:r>
            <w:hyperlink r:id="rId61">
              <w:r>
                <w:rPr>
                  <w:color w:val="0000FF"/>
                  <w:sz w:val="24"/>
                </w:rPr>
                <w:t>Volume</w:t>
              </w:r>
              <w:r>
                <w:rPr>
                  <w:color w:val="0000FF"/>
                  <w:spacing w:val="-4"/>
                  <w:sz w:val="24"/>
                </w:rPr>
                <w:t> </w:t>
              </w:r>
              <w:r>
                <w:rPr>
                  <w:color w:val="0000FF"/>
                  <w:sz w:val="24"/>
                </w:rPr>
                <w:t>I,</w:t>
              </w:r>
              <w:r>
                <w:rPr>
                  <w:color w:val="0000FF"/>
                  <w:spacing w:val="-5"/>
                  <w:sz w:val="24"/>
                </w:rPr>
                <w:t> </w:t>
              </w:r>
              <w:r>
                <w:rPr>
                  <w:color w:val="0000FF"/>
                  <w:sz w:val="24"/>
                </w:rPr>
                <w:t>Part</w:t>
              </w:r>
              <w:r>
                <w:rPr>
                  <w:color w:val="0000FF"/>
                  <w:spacing w:val="-6"/>
                  <w:sz w:val="24"/>
                </w:rPr>
                <w:t> </w:t>
              </w:r>
              <w:r>
                <w:rPr>
                  <w:color w:val="0000FF"/>
                  <w:sz w:val="24"/>
                </w:rPr>
                <w:t>2,</w:t>
              </w:r>
              <w:r>
                <w:rPr>
                  <w:color w:val="0000FF"/>
                  <w:spacing w:val="-4"/>
                  <w:sz w:val="24"/>
                </w:rPr>
                <w:t> </w:t>
              </w:r>
              <w:r>
                <w:rPr>
                  <w:color w:val="0000FF"/>
                  <w:sz w:val="24"/>
                </w:rPr>
                <w:t>Chapter</w:t>
              </w:r>
              <w:r>
                <w:rPr>
                  <w:color w:val="0000FF"/>
                  <w:spacing w:val="-5"/>
                  <w:sz w:val="24"/>
                </w:rPr>
                <w:t> </w:t>
              </w:r>
              <w:r>
                <w:rPr>
                  <w:color w:val="0000FF"/>
                  <w:sz w:val="24"/>
                </w:rPr>
                <w:t>5100</w:t>
              </w:r>
            </w:hyperlink>
            <w:r>
              <w:rPr>
                <w:color w:val="0000FF"/>
                <w:spacing w:val="-4"/>
                <w:sz w:val="24"/>
              </w:rPr>
              <w:t> </w:t>
            </w:r>
            <w:r>
              <w:rPr>
                <w:sz w:val="24"/>
              </w:rPr>
              <w:t>Fund</w:t>
            </w:r>
            <w:r>
              <w:rPr>
                <w:spacing w:val="-4"/>
                <w:sz w:val="24"/>
              </w:rPr>
              <w:t> </w:t>
            </w:r>
            <w:r>
              <w:rPr>
                <w:sz w:val="24"/>
              </w:rPr>
              <w:t>Balance</w:t>
            </w:r>
            <w:r>
              <w:rPr>
                <w:spacing w:val="-4"/>
                <w:sz w:val="24"/>
              </w:rPr>
              <w:t> </w:t>
            </w:r>
            <w:r>
              <w:rPr>
                <w:sz w:val="24"/>
              </w:rPr>
              <w:t>with Treasury</w:t>
            </w:r>
            <w:r>
              <w:rPr>
                <w:spacing w:val="-12"/>
                <w:sz w:val="24"/>
              </w:rPr>
              <w:t> </w:t>
            </w:r>
            <w:r>
              <w:rPr>
                <w:sz w:val="24"/>
              </w:rPr>
              <w:t>Accounts;</w:t>
            </w:r>
          </w:p>
          <w:p>
            <w:pPr>
              <w:pStyle w:val="TableParagraph"/>
              <w:numPr>
                <w:ilvl w:val="0"/>
                <w:numId w:val="63"/>
              </w:numPr>
              <w:tabs>
                <w:tab w:pos="328" w:val="left" w:leader="none"/>
              </w:tabs>
              <w:spacing w:line="273" w:lineRule="exact" w:before="0" w:after="0"/>
              <w:ind w:left="327" w:right="0" w:hanging="217"/>
              <w:jc w:val="left"/>
              <w:rPr>
                <w:sz w:val="24"/>
              </w:rPr>
            </w:pPr>
            <w:hyperlink r:id="rId16">
              <w:r>
                <w:rPr>
                  <w:color w:val="0000FF"/>
                  <w:sz w:val="24"/>
                </w:rPr>
                <w:t>SFFAS</w:t>
              </w:r>
              <w:r>
                <w:rPr>
                  <w:color w:val="0000FF"/>
                  <w:spacing w:val="-7"/>
                  <w:sz w:val="24"/>
                </w:rPr>
                <w:t> </w:t>
              </w:r>
              <w:r>
                <w:rPr>
                  <w:color w:val="0000FF"/>
                  <w:sz w:val="24"/>
                </w:rPr>
                <w:t>1</w:t>
              </w:r>
            </w:hyperlink>
            <w:r>
              <w:rPr>
                <w:sz w:val="24"/>
              </w:rPr>
              <w:t>:</w:t>
            </w:r>
            <w:r>
              <w:rPr>
                <w:spacing w:val="-4"/>
                <w:sz w:val="24"/>
              </w:rPr>
              <w:t> </w:t>
            </w:r>
            <w:r>
              <w:rPr>
                <w:sz w:val="24"/>
              </w:rPr>
              <w:t>Accounting</w:t>
            </w:r>
            <w:r>
              <w:rPr>
                <w:spacing w:val="-2"/>
                <w:sz w:val="24"/>
              </w:rPr>
              <w:t> </w:t>
            </w:r>
            <w:r>
              <w:rPr>
                <w:sz w:val="24"/>
              </w:rPr>
              <w:t>for</w:t>
            </w:r>
            <w:r>
              <w:rPr>
                <w:spacing w:val="-3"/>
                <w:sz w:val="24"/>
              </w:rPr>
              <w:t> </w:t>
            </w:r>
            <w:r>
              <w:rPr>
                <w:sz w:val="24"/>
              </w:rPr>
              <w:t>Selected</w:t>
            </w:r>
            <w:r>
              <w:rPr>
                <w:spacing w:val="-3"/>
                <w:sz w:val="24"/>
              </w:rPr>
              <w:t> </w:t>
            </w:r>
            <w:r>
              <w:rPr>
                <w:sz w:val="24"/>
              </w:rPr>
              <w:t>Assets</w:t>
            </w:r>
            <w:r>
              <w:rPr>
                <w:spacing w:val="-3"/>
                <w:sz w:val="24"/>
              </w:rPr>
              <w:t> </w:t>
            </w:r>
            <w:r>
              <w:rPr>
                <w:sz w:val="24"/>
              </w:rPr>
              <w:t>and</w:t>
            </w:r>
            <w:r>
              <w:rPr>
                <w:spacing w:val="-28"/>
                <w:sz w:val="24"/>
              </w:rPr>
              <w:t> </w:t>
            </w:r>
            <w:r>
              <w:rPr>
                <w:spacing w:val="-2"/>
                <w:sz w:val="24"/>
              </w:rPr>
              <w:t>Liabilities.</w:t>
            </w:r>
          </w:p>
        </w:tc>
      </w:tr>
      <w:tr>
        <w:trPr>
          <w:trHeight w:val="993"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2.3.1.3</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45"/>
              <w:rPr>
                <w:sz w:val="24"/>
              </w:rPr>
            </w:pPr>
            <w:r>
              <w:rPr>
                <w:sz w:val="24"/>
              </w:rPr>
              <w:t>Provide GL account, disbursement,</w:t>
            </w:r>
            <w:r>
              <w:rPr>
                <w:spacing w:val="-17"/>
                <w:sz w:val="24"/>
              </w:rPr>
              <w:t> </w:t>
            </w:r>
            <w:r>
              <w:rPr>
                <w:sz w:val="24"/>
              </w:rPr>
              <w:t>and</w:t>
            </w:r>
            <w:r>
              <w:rPr>
                <w:spacing w:val="-17"/>
                <w:sz w:val="24"/>
              </w:rPr>
              <w:t> </w:t>
            </w:r>
            <w:r>
              <w:rPr>
                <w:sz w:val="24"/>
              </w:rPr>
              <w:t>deposit reconciliation worksheets</w:t>
            </w:r>
          </w:p>
          <w:p>
            <w:pPr>
              <w:pStyle w:val="TableParagraph"/>
              <w:spacing w:line="238" w:lineRule="exact"/>
              <w:ind w:left="110"/>
              <w:rPr>
                <w:sz w:val="24"/>
              </w:rPr>
            </w:pPr>
            <w:r>
              <w:rPr>
                <w:sz w:val="24"/>
              </w:rPr>
              <w:t>consistent</w:t>
            </w:r>
            <w:r>
              <w:rPr>
                <w:spacing w:val="-3"/>
                <w:sz w:val="24"/>
              </w:rPr>
              <w:t> </w:t>
            </w:r>
            <w:r>
              <w:rPr>
                <w:sz w:val="24"/>
              </w:rPr>
              <w:t>with</w:t>
            </w:r>
            <w:r>
              <w:rPr>
                <w:spacing w:val="-3"/>
                <w:sz w:val="24"/>
              </w:rPr>
              <w:t> </w:t>
            </w:r>
            <w:r>
              <w:rPr>
                <w:sz w:val="24"/>
              </w:rPr>
              <w:t>the</w:t>
            </w:r>
            <w:r>
              <w:rPr>
                <w:spacing w:val="-3"/>
                <w:sz w:val="24"/>
              </w:rPr>
              <w:t> </w:t>
            </w:r>
            <w:r>
              <w:rPr>
                <w:spacing w:val="-4"/>
                <w:sz w:val="24"/>
              </w:rPr>
              <w:t>TFM.</w:t>
            </w:r>
          </w:p>
        </w:tc>
        <w:tc>
          <w:tcPr>
            <w:tcW w:w="6628" w:type="dxa"/>
          </w:tcPr>
          <w:p>
            <w:pPr>
              <w:pStyle w:val="TableParagraph"/>
              <w:numPr>
                <w:ilvl w:val="0"/>
                <w:numId w:val="64"/>
              </w:numPr>
              <w:tabs>
                <w:tab w:pos="328" w:val="left" w:leader="none"/>
              </w:tabs>
              <w:spacing w:line="216" w:lineRule="auto" w:before="0" w:after="0"/>
              <w:ind w:left="327" w:right="379" w:hanging="216"/>
              <w:jc w:val="left"/>
              <w:rPr>
                <w:sz w:val="24"/>
              </w:rPr>
            </w:pPr>
            <w:r>
              <w:rPr>
                <w:sz w:val="24"/>
              </w:rPr>
              <w:t>TFM</w:t>
            </w:r>
            <w:r>
              <w:rPr>
                <w:spacing w:val="-4"/>
                <w:sz w:val="24"/>
              </w:rPr>
              <w:t> </w:t>
            </w:r>
            <w:hyperlink r:id="rId61">
              <w:r>
                <w:rPr>
                  <w:color w:val="0000FF"/>
                  <w:sz w:val="24"/>
                </w:rPr>
                <w:t>Volume</w:t>
              </w:r>
              <w:r>
                <w:rPr>
                  <w:color w:val="0000FF"/>
                  <w:spacing w:val="-4"/>
                  <w:sz w:val="24"/>
                </w:rPr>
                <w:t> </w:t>
              </w:r>
              <w:r>
                <w:rPr>
                  <w:color w:val="0000FF"/>
                  <w:sz w:val="24"/>
                </w:rPr>
                <w:t>I,</w:t>
              </w:r>
              <w:r>
                <w:rPr>
                  <w:color w:val="0000FF"/>
                  <w:spacing w:val="-5"/>
                  <w:sz w:val="24"/>
                </w:rPr>
                <w:t> </w:t>
              </w:r>
              <w:r>
                <w:rPr>
                  <w:color w:val="0000FF"/>
                  <w:sz w:val="24"/>
                </w:rPr>
                <w:t>Part</w:t>
              </w:r>
              <w:r>
                <w:rPr>
                  <w:color w:val="0000FF"/>
                  <w:spacing w:val="-6"/>
                  <w:sz w:val="24"/>
                </w:rPr>
                <w:t> </w:t>
              </w:r>
              <w:r>
                <w:rPr>
                  <w:color w:val="0000FF"/>
                  <w:sz w:val="24"/>
                </w:rPr>
                <w:t>2,</w:t>
              </w:r>
              <w:r>
                <w:rPr>
                  <w:color w:val="0000FF"/>
                  <w:spacing w:val="-4"/>
                  <w:sz w:val="24"/>
                </w:rPr>
                <w:t> </w:t>
              </w:r>
              <w:r>
                <w:rPr>
                  <w:color w:val="0000FF"/>
                  <w:sz w:val="24"/>
                </w:rPr>
                <w:t>Chapter</w:t>
              </w:r>
              <w:r>
                <w:rPr>
                  <w:color w:val="0000FF"/>
                  <w:spacing w:val="-5"/>
                  <w:sz w:val="24"/>
                </w:rPr>
                <w:t> </w:t>
              </w:r>
              <w:r>
                <w:rPr>
                  <w:color w:val="0000FF"/>
                  <w:sz w:val="24"/>
                </w:rPr>
                <w:t>5100</w:t>
              </w:r>
            </w:hyperlink>
            <w:r>
              <w:rPr>
                <w:color w:val="0000FF"/>
                <w:spacing w:val="-4"/>
                <w:sz w:val="24"/>
              </w:rPr>
              <w:t> </w:t>
            </w:r>
            <w:r>
              <w:rPr>
                <w:sz w:val="24"/>
              </w:rPr>
              <w:t>Fund</w:t>
            </w:r>
            <w:r>
              <w:rPr>
                <w:spacing w:val="-4"/>
                <w:sz w:val="24"/>
              </w:rPr>
              <w:t> </w:t>
            </w:r>
            <w:r>
              <w:rPr>
                <w:sz w:val="24"/>
              </w:rPr>
              <w:t>Balance</w:t>
            </w:r>
            <w:r>
              <w:rPr>
                <w:spacing w:val="-4"/>
                <w:sz w:val="24"/>
              </w:rPr>
              <w:t> </w:t>
            </w:r>
            <w:r>
              <w:rPr>
                <w:sz w:val="24"/>
              </w:rPr>
              <w:t>with Treasury Accounts.</w:t>
            </w:r>
          </w:p>
        </w:tc>
      </w:tr>
      <w:tr>
        <w:trPr>
          <w:trHeight w:val="2484"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4" w:lineRule="exact"/>
              <w:ind w:left="107"/>
              <w:rPr>
                <w:sz w:val="24"/>
              </w:rPr>
            </w:pPr>
            <w:r>
              <w:rPr>
                <w:spacing w:val="-2"/>
                <w:sz w:val="24"/>
              </w:rPr>
              <w:t>2.3.1.4</w:t>
            </w:r>
          </w:p>
        </w:tc>
        <w:tc>
          <w:tcPr>
            <w:tcW w:w="1534" w:type="dxa"/>
          </w:tcPr>
          <w:p>
            <w:pPr>
              <w:pStyle w:val="TableParagraph"/>
              <w:spacing w:line="244" w:lineRule="exact"/>
              <w:ind w:left="109"/>
              <w:rPr>
                <w:sz w:val="24"/>
              </w:rPr>
            </w:pPr>
            <w:r>
              <w:rPr>
                <w:spacing w:val="-5"/>
                <w:sz w:val="24"/>
              </w:rPr>
              <w:t>DO</w:t>
            </w:r>
          </w:p>
        </w:tc>
        <w:tc>
          <w:tcPr>
            <w:tcW w:w="3834" w:type="dxa"/>
          </w:tcPr>
          <w:p>
            <w:pPr>
              <w:pStyle w:val="TableParagraph"/>
              <w:spacing w:line="216" w:lineRule="auto"/>
              <w:ind w:left="110" w:right="145"/>
              <w:rPr>
                <w:sz w:val="24"/>
              </w:rPr>
            </w:pPr>
            <w:r>
              <w:rPr>
                <w:sz w:val="24"/>
              </w:rPr>
              <w:t>Provide</w:t>
            </w:r>
            <w:r>
              <w:rPr>
                <w:spacing w:val="-14"/>
                <w:sz w:val="24"/>
              </w:rPr>
              <w:t> </w:t>
            </w:r>
            <w:r>
              <w:rPr>
                <w:sz w:val="24"/>
              </w:rPr>
              <w:t>fund</w:t>
            </w:r>
            <w:r>
              <w:rPr>
                <w:spacing w:val="-14"/>
                <w:sz w:val="24"/>
              </w:rPr>
              <w:t> </w:t>
            </w:r>
            <w:r>
              <w:rPr>
                <w:sz w:val="24"/>
              </w:rPr>
              <w:t>balance</w:t>
            </w:r>
            <w:r>
              <w:rPr>
                <w:spacing w:val="-13"/>
                <w:sz w:val="24"/>
              </w:rPr>
              <w:t> </w:t>
            </w:r>
            <w:r>
              <w:rPr>
                <w:sz w:val="24"/>
              </w:rPr>
              <w:t>adjustment data required to post GL transactions consistent with USSGL transaction codes, account</w:t>
            </w:r>
            <w:r>
              <w:rPr>
                <w:spacing w:val="-9"/>
                <w:sz w:val="24"/>
              </w:rPr>
              <w:t> </w:t>
            </w:r>
            <w:r>
              <w:rPr>
                <w:sz w:val="24"/>
              </w:rPr>
              <w:t>categories</w:t>
            </w:r>
            <w:r>
              <w:rPr>
                <w:spacing w:val="-9"/>
                <w:sz w:val="24"/>
              </w:rPr>
              <w:t> </w:t>
            </w:r>
            <w:r>
              <w:rPr>
                <w:sz w:val="24"/>
              </w:rPr>
              <w:t>(for</w:t>
            </w:r>
            <w:r>
              <w:rPr>
                <w:spacing w:val="-9"/>
                <w:sz w:val="24"/>
              </w:rPr>
              <w:t> </w:t>
            </w:r>
            <w:r>
              <w:rPr>
                <w:sz w:val="24"/>
              </w:rPr>
              <w:t>example, funding), and account subcategories (for example, budgetary resources other than collections) as defined in the</w:t>
            </w:r>
          </w:p>
          <w:p>
            <w:pPr>
              <w:pStyle w:val="TableParagraph"/>
              <w:spacing w:line="239" w:lineRule="exact"/>
              <w:ind w:left="110"/>
              <w:rPr>
                <w:sz w:val="24"/>
              </w:rPr>
            </w:pPr>
            <w:r>
              <w:rPr>
                <w:spacing w:val="-4"/>
                <w:sz w:val="24"/>
              </w:rPr>
              <w:t>TFM.</w:t>
            </w:r>
          </w:p>
        </w:tc>
        <w:tc>
          <w:tcPr>
            <w:tcW w:w="6628" w:type="dxa"/>
          </w:tcPr>
          <w:p>
            <w:pPr>
              <w:pStyle w:val="TableParagraph"/>
              <w:numPr>
                <w:ilvl w:val="0"/>
                <w:numId w:val="65"/>
              </w:numPr>
              <w:tabs>
                <w:tab w:pos="328" w:val="left" w:leader="none"/>
              </w:tabs>
              <w:spacing w:line="247" w:lineRule="exact" w:before="0" w:after="0"/>
              <w:ind w:left="327" w:right="0" w:hanging="217"/>
              <w:jc w:val="left"/>
              <w:rPr>
                <w:sz w:val="24"/>
              </w:rPr>
            </w:pPr>
            <w:hyperlink r:id="rId14">
              <w:r>
                <w:rPr>
                  <w:color w:val="0000FF"/>
                  <w:sz w:val="24"/>
                </w:rPr>
                <w:t>USSGL</w:t>
              </w:r>
              <w:r>
                <w:rPr>
                  <w:sz w:val="24"/>
                </w:rPr>
                <w:t>,</w:t>
              </w:r>
            </w:hyperlink>
            <w:r>
              <w:rPr>
                <w:spacing w:val="-3"/>
                <w:sz w:val="24"/>
              </w:rPr>
              <w:t> </w:t>
            </w:r>
            <w:r>
              <w:rPr>
                <w:sz w:val="24"/>
              </w:rPr>
              <w:t>Section</w:t>
            </w:r>
            <w:r>
              <w:rPr>
                <w:spacing w:val="-3"/>
                <w:sz w:val="24"/>
              </w:rPr>
              <w:t> </w:t>
            </w:r>
            <w:r>
              <w:rPr>
                <w:sz w:val="24"/>
              </w:rPr>
              <w:t>III:</w:t>
            </w:r>
            <w:r>
              <w:rPr>
                <w:spacing w:val="-2"/>
                <w:sz w:val="24"/>
              </w:rPr>
              <w:t> </w:t>
            </w:r>
            <w:r>
              <w:rPr>
                <w:sz w:val="24"/>
              </w:rPr>
              <w:t>Account</w:t>
            </w:r>
            <w:r>
              <w:rPr>
                <w:spacing w:val="-4"/>
                <w:sz w:val="24"/>
              </w:rPr>
              <w:t> </w:t>
            </w:r>
            <w:r>
              <w:rPr>
                <w:spacing w:val="-2"/>
                <w:sz w:val="24"/>
              </w:rPr>
              <w:t>Transactions;</w:t>
            </w:r>
          </w:p>
          <w:p>
            <w:pPr>
              <w:pStyle w:val="TableParagraph"/>
              <w:numPr>
                <w:ilvl w:val="0"/>
                <w:numId w:val="65"/>
              </w:numPr>
              <w:tabs>
                <w:tab w:pos="328" w:val="left" w:leader="none"/>
              </w:tabs>
              <w:spacing w:line="213" w:lineRule="auto" w:before="12" w:after="0"/>
              <w:ind w:left="327" w:right="457" w:hanging="216"/>
              <w:jc w:val="left"/>
              <w:rPr>
                <w:sz w:val="24"/>
              </w:rPr>
            </w:pPr>
            <w:hyperlink r:id="rId14">
              <w:r>
                <w:rPr>
                  <w:color w:val="0000FF"/>
                  <w:sz w:val="24"/>
                </w:rPr>
                <w:t>USSGL</w:t>
              </w:r>
              <w:r>
                <w:rPr>
                  <w:sz w:val="24"/>
                </w:rPr>
                <w:t>,</w:t>
              </w:r>
            </w:hyperlink>
            <w:r>
              <w:rPr>
                <w:sz w:val="24"/>
              </w:rPr>
              <w:t> Section IV: Account Attributes for USSGL Proprietary</w:t>
            </w:r>
            <w:r>
              <w:rPr>
                <w:spacing w:val="-9"/>
                <w:sz w:val="24"/>
              </w:rPr>
              <w:t> </w:t>
            </w:r>
            <w:r>
              <w:rPr>
                <w:sz w:val="24"/>
              </w:rPr>
              <w:t>Account</w:t>
            </w:r>
            <w:r>
              <w:rPr>
                <w:spacing w:val="-9"/>
                <w:sz w:val="24"/>
              </w:rPr>
              <w:t> </w:t>
            </w:r>
            <w:r>
              <w:rPr>
                <w:sz w:val="24"/>
              </w:rPr>
              <w:t>and</w:t>
            </w:r>
            <w:r>
              <w:rPr>
                <w:spacing w:val="-9"/>
                <w:sz w:val="24"/>
              </w:rPr>
              <w:t> </w:t>
            </w:r>
            <w:r>
              <w:rPr>
                <w:sz w:val="24"/>
              </w:rPr>
              <w:t>Budgetary</w:t>
            </w:r>
            <w:r>
              <w:rPr>
                <w:spacing w:val="-9"/>
                <w:sz w:val="24"/>
              </w:rPr>
              <w:t> </w:t>
            </w:r>
            <w:r>
              <w:rPr>
                <w:sz w:val="24"/>
              </w:rPr>
              <w:t>Account</w:t>
            </w:r>
            <w:r>
              <w:rPr>
                <w:spacing w:val="-17"/>
                <w:sz w:val="24"/>
              </w:rPr>
              <w:t> </w:t>
            </w:r>
            <w:r>
              <w:rPr>
                <w:sz w:val="24"/>
              </w:rPr>
              <w:t>Reporting;</w:t>
            </w:r>
          </w:p>
          <w:p>
            <w:pPr>
              <w:pStyle w:val="TableParagraph"/>
              <w:numPr>
                <w:ilvl w:val="0"/>
                <w:numId w:val="65"/>
              </w:numPr>
              <w:tabs>
                <w:tab w:pos="328" w:val="left" w:leader="none"/>
              </w:tabs>
              <w:spacing w:line="216" w:lineRule="auto" w:before="3" w:after="0"/>
              <w:ind w:left="327" w:right="287" w:hanging="216"/>
              <w:jc w:val="left"/>
              <w:rPr>
                <w:sz w:val="24"/>
              </w:rPr>
            </w:pPr>
            <w:r>
              <w:rPr>
                <w:sz w:val="24"/>
              </w:rPr>
              <w:t>TFM</w:t>
            </w:r>
            <w:r>
              <w:rPr>
                <w:spacing w:val="-4"/>
                <w:sz w:val="24"/>
              </w:rPr>
              <w:t> </w:t>
            </w:r>
            <w:hyperlink r:id="rId15">
              <w:r>
                <w:rPr>
                  <w:color w:val="0000FF"/>
                  <w:sz w:val="24"/>
                </w:rPr>
                <w:t>Volume</w:t>
              </w:r>
              <w:r>
                <w:rPr>
                  <w:color w:val="0000FF"/>
                  <w:spacing w:val="-5"/>
                  <w:sz w:val="24"/>
                </w:rPr>
                <w:t> </w:t>
              </w:r>
              <w:r>
                <w:rPr>
                  <w:color w:val="0000FF"/>
                  <w:sz w:val="24"/>
                </w:rPr>
                <w:t>I,</w:t>
              </w:r>
              <w:r>
                <w:rPr>
                  <w:color w:val="0000FF"/>
                  <w:spacing w:val="-6"/>
                  <w:sz w:val="24"/>
                </w:rPr>
                <w:t> </w:t>
              </w:r>
              <w:r>
                <w:rPr>
                  <w:color w:val="0000FF"/>
                  <w:sz w:val="24"/>
                </w:rPr>
                <w:t>Part</w:t>
              </w:r>
              <w:r>
                <w:rPr>
                  <w:color w:val="0000FF"/>
                  <w:spacing w:val="-6"/>
                  <w:sz w:val="24"/>
                </w:rPr>
                <w:t> </w:t>
              </w:r>
              <w:r>
                <w:rPr>
                  <w:color w:val="0000FF"/>
                  <w:sz w:val="24"/>
                </w:rPr>
                <w:t>6,</w:t>
              </w:r>
              <w:r>
                <w:rPr>
                  <w:color w:val="0000FF"/>
                  <w:spacing w:val="-5"/>
                  <w:sz w:val="24"/>
                </w:rPr>
                <w:t> </w:t>
              </w:r>
              <w:r>
                <w:rPr>
                  <w:color w:val="0000FF"/>
                  <w:sz w:val="24"/>
                </w:rPr>
                <w:t>Chapter</w:t>
              </w:r>
              <w:r>
                <w:rPr>
                  <w:color w:val="0000FF"/>
                  <w:spacing w:val="-6"/>
                  <w:sz w:val="24"/>
                </w:rPr>
                <w:t> </w:t>
              </w:r>
              <w:r>
                <w:rPr>
                  <w:color w:val="0000FF"/>
                  <w:sz w:val="24"/>
                </w:rPr>
                <w:t>2100</w:t>
              </w:r>
            </w:hyperlink>
            <w:r>
              <w:rPr>
                <w:color w:val="0000FF"/>
                <w:spacing w:val="-5"/>
                <w:sz w:val="24"/>
              </w:rPr>
              <w:t> </w:t>
            </w:r>
            <w:r>
              <w:rPr>
                <w:sz w:val="24"/>
              </w:rPr>
              <w:t>Fiscal</w:t>
            </w:r>
            <w:r>
              <w:rPr>
                <w:spacing w:val="-4"/>
                <w:sz w:val="24"/>
              </w:rPr>
              <w:t> </w:t>
            </w:r>
            <w:r>
              <w:rPr>
                <w:sz w:val="24"/>
              </w:rPr>
              <w:t>Service</w:t>
            </w:r>
            <w:r>
              <w:rPr>
                <w:spacing w:val="-5"/>
                <w:sz w:val="24"/>
              </w:rPr>
              <w:t> </w:t>
            </w:r>
            <w:r>
              <w:rPr>
                <w:sz w:val="24"/>
              </w:rPr>
              <w:t>Data </w:t>
            </w:r>
            <w:r>
              <w:rPr>
                <w:spacing w:val="-2"/>
                <w:sz w:val="24"/>
              </w:rPr>
              <w:t>Registry.</w:t>
            </w:r>
          </w:p>
        </w:tc>
      </w:tr>
    </w:tbl>
    <w:p>
      <w:pPr>
        <w:spacing w:after="0" w:line="216" w:lineRule="auto"/>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2235" w:hRule="atLeast"/>
        </w:trPr>
        <w:tc>
          <w:tcPr>
            <w:tcW w:w="1525" w:type="dxa"/>
            <w:vMerge w:val="restart"/>
          </w:tcPr>
          <w:p>
            <w:pPr>
              <w:pStyle w:val="TableParagraph"/>
              <w:spacing w:line="244" w:lineRule="exact"/>
              <w:ind w:left="107"/>
              <w:rPr>
                <w:sz w:val="24"/>
              </w:rPr>
            </w:pPr>
            <w:r>
              <w:rPr>
                <w:spacing w:val="-4"/>
                <w:sz w:val="24"/>
              </w:rPr>
              <w:t>2.3.2</w:t>
            </w:r>
          </w:p>
        </w:tc>
        <w:tc>
          <w:tcPr>
            <w:tcW w:w="1761" w:type="dxa"/>
            <w:vMerge w:val="restart"/>
          </w:tcPr>
          <w:p>
            <w:pPr>
              <w:pStyle w:val="TableParagraph"/>
              <w:spacing w:line="216" w:lineRule="auto"/>
              <w:ind w:left="108" w:right="185"/>
              <w:rPr>
                <w:sz w:val="24"/>
              </w:rPr>
            </w:pPr>
            <w:r>
              <w:rPr>
                <w:spacing w:val="-2"/>
                <w:sz w:val="24"/>
              </w:rPr>
              <w:t>Verifying Traceability</w:t>
            </w:r>
          </w:p>
        </w:tc>
        <w:tc>
          <w:tcPr>
            <w:tcW w:w="1984" w:type="dxa"/>
          </w:tcPr>
          <w:p>
            <w:pPr>
              <w:pStyle w:val="TableParagraph"/>
              <w:spacing w:line="244" w:lineRule="exact"/>
              <w:ind w:left="107"/>
              <w:rPr>
                <w:sz w:val="24"/>
              </w:rPr>
            </w:pPr>
            <w:r>
              <w:rPr>
                <w:spacing w:val="-2"/>
                <w:sz w:val="24"/>
              </w:rPr>
              <w:t>2.3.2.1</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145"/>
              <w:rPr>
                <w:sz w:val="24"/>
              </w:rPr>
            </w:pPr>
            <w:r>
              <w:rPr>
                <w:sz w:val="24"/>
              </w:rPr>
              <w:t>Verify that GL account balances can be traced to aggregated or discrete transactions in agency programmatic systems and that the aggregated or discrete transactions</w:t>
            </w:r>
            <w:r>
              <w:rPr>
                <w:spacing w:val="-8"/>
                <w:sz w:val="24"/>
              </w:rPr>
              <w:t> </w:t>
            </w:r>
            <w:r>
              <w:rPr>
                <w:sz w:val="24"/>
              </w:rPr>
              <w:t>can</w:t>
            </w:r>
            <w:r>
              <w:rPr>
                <w:spacing w:val="-8"/>
                <w:sz w:val="24"/>
              </w:rPr>
              <w:t> </w:t>
            </w:r>
            <w:r>
              <w:rPr>
                <w:sz w:val="24"/>
              </w:rPr>
              <w:t>be</w:t>
            </w:r>
            <w:r>
              <w:rPr>
                <w:spacing w:val="-8"/>
                <w:sz w:val="24"/>
              </w:rPr>
              <w:t> </w:t>
            </w:r>
            <w:r>
              <w:rPr>
                <w:sz w:val="24"/>
              </w:rPr>
              <w:t>traced</w:t>
            </w:r>
            <w:r>
              <w:rPr>
                <w:spacing w:val="-8"/>
                <w:sz w:val="24"/>
              </w:rPr>
              <w:t> </w:t>
            </w:r>
            <w:r>
              <w:rPr>
                <w:sz w:val="24"/>
              </w:rPr>
              <w:t>to</w:t>
            </w:r>
            <w:r>
              <w:rPr>
                <w:spacing w:val="-8"/>
                <w:sz w:val="24"/>
              </w:rPr>
              <w:t> </w:t>
            </w:r>
            <w:r>
              <w:rPr>
                <w:sz w:val="24"/>
              </w:rPr>
              <w:t>the point of entry and source documents consistent with the</w:t>
            </w:r>
          </w:p>
          <w:p>
            <w:pPr>
              <w:pStyle w:val="TableParagraph"/>
              <w:spacing w:line="238" w:lineRule="exact"/>
              <w:ind w:left="110"/>
              <w:rPr>
                <w:sz w:val="24"/>
              </w:rPr>
            </w:pPr>
            <w:r>
              <w:rPr>
                <w:spacing w:val="-4"/>
                <w:sz w:val="24"/>
              </w:rPr>
              <w:t>TFM.</w:t>
            </w:r>
          </w:p>
        </w:tc>
        <w:tc>
          <w:tcPr>
            <w:tcW w:w="6628" w:type="dxa"/>
          </w:tcPr>
          <w:p>
            <w:pPr>
              <w:pStyle w:val="TableParagraph"/>
              <w:numPr>
                <w:ilvl w:val="0"/>
                <w:numId w:val="66"/>
              </w:numPr>
              <w:tabs>
                <w:tab w:pos="328" w:val="left" w:leader="none"/>
              </w:tabs>
              <w:spacing w:line="216" w:lineRule="auto" w:before="0" w:after="0"/>
              <w:ind w:left="327" w:right="379" w:hanging="216"/>
              <w:jc w:val="left"/>
              <w:rPr>
                <w:sz w:val="24"/>
              </w:rPr>
            </w:pPr>
            <w:r>
              <w:rPr>
                <w:sz w:val="24"/>
              </w:rPr>
              <w:t>TFM</w:t>
            </w:r>
            <w:r>
              <w:rPr>
                <w:spacing w:val="-4"/>
                <w:sz w:val="24"/>
              </w:rPr>
              <w:t> </w:t>
            </w:r>
            <w:hyperlink r:id="rId61">
              <w:r>
                <w:rPr>
                  <w:color w:val="0000FF"/>
                  <w:sz w:val="24"/>
                </w:rPr>
                <w:t>Volume</w:t>
              </w:r>
              <w:r>
                <w:rPr>
                  <w:color w:val="0000FF"/>
                  <w:spacing w:val="-4"/>
                  <w:sz w:val="24"/>
                </w:rPr>
                <w:t> </w:t>
              </w:r>
              <w:r>
                <w:rPr>
                  <w:color w:val="0000FF"/>
                  <w:sz w:val="24"/>
                </w:rPr>
                <w:t>I,</w:t>
              </w:r>
              <w:r>
                <w:rPr>
                  <w:color w:val="0000FF"/>
                  <w:spacing w:val="-5"/>
                  <w:sz w:val="24"/>
                </w:rPr>
                <w:t> </w:t>
              </w:r>
              <w:r>
                <w:rPr>
                  <w:color w:val="0000FF"/>
                  <w:sz w:val="24"/>
                </w:rPr>
                <w:t>Part</w:t>
              </w:r>
              <w:r>
                <w:rPr>
                  <w:color w:val="0000FF"/>
                  <w:spacing w:val="-6"/>
                  <w:sz w:val="24"/>
                </w:rPr>
                <w:t> </w:t>
              </w:r>
              <w:r>
                <w:rPr>
                  <w:color w:val="0000FF"/>
                  <w:sz w:val="24"/>
                </w:rPr>
                <w:t>2,</w:t>
              </w:r>
              <w:r>
                <w:rPr>
                  <w:color w:val="0000FF"/>
                  <w:spacing w:val="-4"/>
                  <w:sz w:val="24"/>
                </w:rPr>
                <w:t> </w:t>
              </w:r>
              <w:r>
                <w:rPr>
                  <w:color w:val="0000FF"/>
                  <w:sz w:val="24"/>
                </w:rPr>
                <w:t>Chapter</w:t>
              </w:r>
              <w:r>
                <w:rPr>
                  <w:color w:val="0000FF"/>
                  <w:spacing w:val="-5"/>
                  <w:sz w:val="24"/>
                </w:rPr>
                <w:t> </w:t>
              </w:r>
              <w:r>
                <w:rPr>
                  <w:color w:val="0000FF"/>
                  <w:sz w:val="24"/>
                </w:rPr>
                <w:t>5100</w:t>
              </w:r>
            </w:hyperlink>
            <w:r>
              <w:rPr>
                <w:color w:val="0000FF"/>
                <w:spacing w:val="-4"/>
                <w:sz w:val="24"/>
              </w:rPr>
              <w:t> </w:t>
            </w:r>
            <w:r>
              <w:rPr>
                <w:sz w:val="24"/>
              </w:rPr>
              <w:t>Fund</w:t>
            </w:r>
            <w:r>
              <w:rPr>
                <w:spacing w:val="-4"/>
                <w:sz w:val="24"/>
              </w:rPr>
              <w:t> </w:t>
            </w:r>
            <w:r>
              <w:rPr>
                <w:sz w:val="24"/>
              </w:rPr>
              <w:t>Balance</w:t>
            </w:r>
            <w:r>
              <w:rPr>
                <w:spacing w:val="-4"/>
                <w:sz w:val="24"/>
              </w:rPr>
              <w:t> </w:t>
            </w:r>
            <w:r>
              <w:rPr>
                <w:sz w:val="24"/>
              </w:rPr>
              <w:t>with Treasury</w:t>
            </w:r>
            <w:r>
              <w:rPr>
                <w:spacing w:val="-8"/>
                <w:sz w:val="24"/>
              </w:rPr>
              <w:t> </w:t>
            </w:r>
            <w:r>
              <w:rPr>
                <w:sz w:val="24"/>
              </w:rPr>
              <w:t>Accounts;</w:t>
            </w:r>
          </w:p>
          <w:p>
            <w:pPr>
              <w:pStyle w:val="TableParagraph"/>
              <w:numPr>
                <w:ilvl w:val="0"/>
                <w:numId w:val="66"/>
              </w:numPr>
              <w:tabs>
                <w:tab w:pos="328" w:val="left" w:leader="none"/>
              </w:tabs>
              <w:spacing w:line="216" w:lineRule="auto" w:before="0" w:after="0"/>
              <w:ind w:left="327" w:right="101" w:hanging="216"/>
              <w:jc w:val="left"/>
              <w:rPr>
                <w:sz w:val="24"/>
              </w:rPr>
            </w:pPr>
            <w:hyperlink r:id="rId41">
              <w:r>
                <w:rPr>
                  <w:color w:val="0000FF"/>
                  <w:sz w:val="24"/>
                </w:rPr>
                <w:t>OMB</w:t>
              </w:r>
            </w:hyperlink>
            <w:r>
              <w:rPr>
                <w:color w:val="0000FF"/>
                <w:spacing w:val="-7"/>
                <w:sz w:val="24"/>
              </w:rPr>
              <w:t> </w:t>
            </w:r>
            <w:r>
              <w:rPr>
                <w:sz w:val="24"/>
              </w:rPr>
              <w:t>Circular</w:t>
            </w:r>
            <w:r>
              <w:rPr>
                <w:spacing w:val="-6"/>
                <w:sz w:val="24"/>
              </w:rPr>
              <w:t> </w:t>
            </w:r>
            <w:r>
              <w:rPr>
                <w:sz w:val="24"/>
              </w:rPr>
              <w:t>No.</w:t>
            </w:r>
            <w:r>
              <w:rPr>
                <w:spacing w:val="-6"/>
                <w:sz w:val="24"/>
              </w:rPr>
              <w:t> </w:t>
            </w:r>
            <w:r>
              <w:rPr>
                <w:sz w:val="24"/>
              </w:rPr>
              <w:t>A-123,</w:t>
            </w:r>
            <w:r>
              <w:rPr>
                <w:spacing w:val="-7"/>
                <w:sz w:val="24"/>
              </w:rPr>
              <w:t> </w:t>
            </w:r>
            <w:r>
              <w:rPr>
                <w:sz w:val="24"/>
              </w:rPr>
              <w:t>Management’s</w:t>
            </w:r>
            <w:r>
              <w:rPr>
                <w:spacing w:val="-7"/>
                <w:sz w:val="24"/>
              </w:rPr>
              <w:t> </w:t>
            </w:r>
            <w:r>
              <w:rPr>
                <w:sz w:val="24"/>
              </w:rPr>
              <w:t>Responsibility</w:t>
            </w:r>
            <w:r>
              <w:rPr>
                <w:spacing w:val="-7"/>
                <w:sz w:val="24"/>
              </w:rPr>
              <w:t> </w:t>
            </w:r>
            <w:r>
              <w:rPr>
                <w:sz w:val="24"/>
              </w:rPr>
              <w:t>for Enterprise Risk Management and Internal Control, Appendix A, Management of Reporting and Data Integrity </w:t>
            </w:r>
            <w:r>
              <w:rPr>
                <w:spacing w:val="-4"/>
                <w:sz w:val="24"/>
              </w:rPr>
              <w:t>Risk;</w:t>
            </w:r>
          </w:p>
          <w:p>
            <w:pPr>
              <w:pStyle w:val="TableParagraph"/>
              <w:numPr>
                <w:ilvl w:val="0"/>
                <w:numId w:val="66"/>
              </w:numPr>
              <w:tabs>
                <w:tab w:pos="328" w:val="left" w:leader="none"/>
              </w:tabs>
              <w:spacing w:line="216" w:lineRule="auto" w:before="0" w:after="0"/>
              <w:ind w:left="327" w:right="233" w:hanging="216"/>
              <w:jc w:val="left"/>
              <w:rPr>
                <w:sz w:val="24"/>
              </w:rPr>
            </w:pPr>
            <w:hyperlink r:id="rId70">
              <w:r>
                <w:rPr>
                  <w:color w:val="0000FF"/>
                  <w:sz w:val="24"/>
                </w:rPr>
                <w:t>SFFAS 26</w:t>
              </w:r>
            </w:hyperlink>
            <w:r>
              <w:rPr>
                <w:sz w:val="24"/>
              </w:rPr>
              <w:t>: Presentation of Significant Assumptions for the</w:t>
            </w:r>
            <w:r>
              <w:rPr>
                <w:spacing w:val="-6"/>
                <w:sz w:val="24"/>
              </w:rPr>
              <w:t> </w:t>
            </w:r>
            <w:r>
              <w:rPr>
                <w:sz w:val="24"/>
              </w:rPr>
              <w:t>Statement</w:t>
            </w:r>
            <w:r>
              <w:rPr>
                <w:spacing w:val="-6"/>
                <w:sz w:val="24"/>
              </w:rPr>
              <w:t> </w:t>
            </w:r>
            <w:r>
              <w:rPr>
                <w:sz w:val="24"/>
              </w:rPr>
              <w:t>of</w:t>
            </w:r>
            <w:r>
              <w:rPr>
                <w:spacing w:val="-6"/>
                <w:sz w:val="24"/>
              </w:rPr>
              <w:t> </w:t>
            </w:r>
            <w:r>
              <w:rPr>
                <w:sz w:val="24"/>
              </w:rPr>
              <w:t>Social</w:t>
            </w:r>
            <w:r>
              <w:rPr>
                <w:spacing w:val="-6"/>
                <w:sz w:val="24"/>
              </w:rPr>
              <w:t> </w:t>
            </w:r>
            <w:r>
              <w:rPr>
                <w:sz w:val="24"/>
              </w:rPr>
              <w:t>Insurance,</w:t>
            </w:r>
            <w:r>
              <w:rPr>
                <w:spacing w:val="-6"/>
                <w:sz w:val="24"/>
              </w:rPr>
              <w:t> </w:t>
            </w:r>
            <w:r>
              <w:rPr>
                <w:sz w:val="24"/>
              </w:rPr>
              <w:t>Amending</w:t>
            </w:r>
            <w:r>
              <w:rPr>
                <w:spacing w:val="-6"/>
                <w:sz w:val="24"/>
              </w:rPr>
              <w:t> </w:t>
            </w:r>
            <w:r>
              <w:rPr>
                <w:sz w:val="24"/>
              </w:rPr>
              <w:t>SFFAS</w:t>
            </w:r>
            <w:r>
              <w:rPr>
                <w:spacing w:val="-6"/>
                <w:sz w:val="24"/>
              </w:rPr>
              <w:t> </w:t>
            </w:r>
            <w:r>
              <w:rPr>
                <w:sz w:val="24"/>
              </w:rPr>
              <w:t>25.</w:t>
            </w:r>
          </w:p>
        </w:tc>
      </w:tr>
      <w:tr>
        <w:trPr>
          <w:trHeight w:val="2798"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5" w:lineRule="exact"/>
              <w:ind w:left="107"/>
              <w:rPr>
                <w:sz w:val="24"/>
              </w:rPr>
            </w:pPr>
            <w:r>
              <w:rPr>
                <w:spacing w:val="-2"/>
                <w:sz w:val="24"/>
              </w:rPr>
              <w:t>2.3.2.2</w:t>
            </w:r>
          </w:p>
        </w:tc>
        <w:tc>
          <w:tcPr>
            <w:tcW w:w="1534" w:type="dxa"/>
          </w:tcPr>
          <w:p>
            <w:pPr>
              <w:pStyle w:val="TableParagraph"/>
              <w:spacing w:line="245" w:lineRule="exact"/>
              <w:ind w:left="109"/>
              <w:rPr>
                <w:sz w:val="24"/>
              </w:rPr>
            </w:pPr>
            <w:r>
              <w:rPr>
                <w:sz w:val="24"/>
              </w:rPr>
              <w:t>P</w:t>
            </w:r>
          </w:p>
        </w:tc>
        <w:tc>
          <w:tcPr>
            <w:tcW w:w="3834" w:type="dxa"/>
          </w:tcPr>
          <w:p>
            <w:pPr>
              <w:pStyle w:val="TableParagraph"/>
              <w:spacing w:line="216" w:lineRule="auto"/>
              <w:ind w:left="110" w:right="145"/>
              <w:rPr>
                <w:sz w:val="24"/>
              </w:rPr>
            </w:pPr>
            <w:r>
              <w:rPr>
                <w:sz w:val="24"/>
              </w:rPr>
              <w:t>Verify that financial statements and other required financial and budget reports can be traced to GL</w:t>
            </w:r>
            <w:r>
              <w:rPr>
                <w:spacing w:val="-10"/>
                <w:sz w:val="24"/>
              </w:rPr>
              <w:t> </w:t>
            </w:r>
            <w:r>
              <w:rPr>
                <w:sz w:val="24"/>
              </w:rPr>
              <w:t>account</w:t>
            </w:r>
            <w:r>
              <w:rPr>
                <w:spacing w:val="-10"/>
                <w:sz w:val="24"/>
              </w:rPr>
              <w:t> </w:t>
            </w:r>
            <w:r>
              <w:rPr>
                <w:sz w:val="24"/>
              </w:rPr>
              <w:t>balances</w:t>
            </w:r>
            <w:r>
              <w:rPr>
                <w:spacing w:val="-10"/>
                <w:sz w:val="24"/>
              </w:rPr>
              <w:t> </w:t>
            </w:r>
            <w:r>
              <w:rPr>
                <w:sz w:val="24"/>
              </w:rPr>
              <w:t>as</w:t>
            </w:r>
            <w:r>
              <w:rPr>
                <w:spacing w:val="-10"/>
                <w:sz w:val="24"/>
              </w:rPr>
              <w:t> </w:t>
            </w:r>
            <w:r>
              <w:rPr>
                <w:sz w:val="24"/>
              </w:rPr>
              <w:t>required by OMB Circular No. A-123 and as specified in the TFM.</w:t>
            </w:r>
          </w:p>
        </w:tc>
        <w:tc>
          <w:tcPr>
            <w:tcW w:w="6628" w:type="dxa"/>
          </w:tcPr>
          <w:p>
            <w:pPr>
              <w:pStyle w:val="TableParagraph"/>
              <w:numPr>
                <w:ilvl w:val="0"/>
                <w:numId w:val="67"/>
              </w:numPr>
              <w:tabs>
                <w:tab w:pos="328" w:val="left" w:leader="none"/>
              </w:tabs>
              <w:spacing w:line="216" w:lineRule="auto" w:before="0" w:after="0"/>
              <w:ind w:left="327" w:right="101" w:hanging="216"/>
              <w:jc w:val="left"/>
              <w:rPr>
                <w:sz w:val="24"/>
              </w:rPr>
            </w:pPr>
            <w:hyperlink r:id="rId41">
              <w:r>
                <w:rPr>
                  <w:color w:val="0000FF"/>
                  <w:sz w:val="24"/>
                </w:rPr>
                <w:t>OMB</w:t>
              </w:r>
            </w:hyperlink>
            <w:r>
              <w:rPr>
                <w:color w:val="0000FF"/>
                <w:spacing w:val="-7"/>
                <w:sz w:val="24"/>
              </w:rPr>
              <w:t> </w:t>
            </w:r>
            <w:r>
              <w:rPr>
                <w:sz w:val="24"/>
              </w:rPr>
              <w:t>Circular</w:t>
            </w:r>
            <w:r>
              <w:rPr>
                <w:spacing w:val="-6"/>
                <w:sz w:val="24"/>
              </w:rPr>
              <w:t> </w:t>
            </w:r>
            <w:r>
              <w:rPr>
                <w:sz w:val="24"/>
              </w:rPr>
              <w:t>No.</w:t>
            </w:r>
            <w:r>
              <w:rPr>
                <w:spacing w:val="-6"/>
                <w:sz w:val="24"/>
              </w:rPr>
              <w:t> </w:t>
            </w:r>
            <w:r>
              <w:rPr>
                <w:sz w:val="24"/>
              </w:rPr>
              <w:t>A-123,</w:t>
            </w:r>
            <w:r>
              <w:rPr>
                <w:spacing w:val="-7"/>
                <w:sz w:val="24"/>
              </w:rPr>
              <w:t> </w:t>
            </w:r>
            <w:r>
              <w:rPr>
                <w:sz w:val="24"/>
              </w:rPr>
              <w:t>Management’s</w:t>
            </w:r>
            <w:r>
              <w:rPr>
                <w:spacing w:val="-7"/>
                <w:sz w:val="24"/>
              </w:rPr>
              <w:t> </w:t>
            </w:r>
            <w:r>
              <w:rPr>
                <w:sz w:val="24"/>
              </w:rPr>
              <w:t>Responsibility</w:t>
            </w:r>
            <w:r>
              <w:rPr>
                <w:spacing w:val="-7"/>
                <w:sz w:val="24"/>
              </w:rPr>
              <w:t> </w:t>
            </w:r>
            <w:r>
              <w:rPr>
                <w:sz w:val="24"/>
              </w:rPr>
              <w:t>for Enterprise Risk Management and Internal Control,</w:t>
            </w:r>
            <w:r>
              <w:rPr>
                <w:spacing w:val="40"/>
                <w:sz w:val="24"/>
              </w:rPr>
              <w:t> </w:t>
            </w:r>
            <w:r>
              <w:rPr>
                <w:sz w:val="24"/>
              </w:rPr>
              <w:t>Section IV, Assessing Internal Control, Item D, Internal Control Evaluation Approach;</w:t>
            </w:r>
          </w:p>
          <w:p>
            <w:pPr>
              <w:pStyle w:val="TableParagraph"/>
              <w:numPr>
                <w:ilvl w:val="0"/>
                <w:numId w:val="67"/>
              </w:numPr>
              <w:tabs>
                <w:tab w:pos="328" w:val="left" w:leader="none"/>
              </w:tabs>
              <w:spacing w:line="216" w:lineRule="auto" w:before="0" w:after="0"/>
              <w:ind w:left="327" w:right="621" w:hanging="216"/>
              <w:jc w:val="left"/>
              <w:rPr>
                <w:sz w:val="24"/>
              </w:rPr>
            </w:pPr>
            <w:hyperlink r:id="rId14">
              <w:r>
                <w:rPr>
                  <w:color w:val="0000FF"/>
                  <w:sz w:val="24"/>
                </w:rPr>
                <w:t>USSGL</w:t>
              </w:r>
            </w:hyperlink>
            <w:r>
              <w:rPr>
                <w:sz w:val="24"/>
              </w:rPr>
              <w:t>, Section IV: USSGL Account Attributes for USSGL</w:t>
            </w:r>
            <w:r>
              <w:rPr>
                <w:spacing w:val="-8"/>
                <w:sz w:val="24"/>
              </w:rPr>
              <w:t> </w:t>
            </w:r>
            <w:r>
              <w:rPr>
                <w:sz w:val="24"/>
              </w:rPr>
              <w:t>Proprietary</w:t>
            </w:r>
            <w:r>
              <w:rPr>
                <w:spacing w:val="-8"/>
                <w:sz w:val="24"/>
              </w:rPr>
              <w:t> </w:t>
            </w:r>
            <w:r>
              <w:rPr>
                <w:sz w:val="24"/>
              </w:rPr>
              <w:t>Accounts</w:t>
            </w:r>
            <w:r>
              <w:rPr>
                <w:spacing w:val="-8"/>
                <w:sz w:val="24"/>
              </w:rPr>
              <w:t> </w:t>
            </w:r>
            <w:r>
              <w:rPr>
                <w:sz w:val="24"/>
              </w:rPr>
              <w:t>and</w:t>
            </w:r>
            <w:r>
              <w:rPr>
                <w:spacing w:val="-8"/>
                <w:sz w:val="24"/>
              </w:rPr>
              <w:t> </w:t>
            </w:r>
            <w:r>
              <w:rPr>
                <w:sz w:val="24"/>
              </w:rPr>
              <w:t>Budgetary</w:t>
            </w:r>
            <w:r>
              <w:rPr>
                <w:spacing w:val="-8"/>
                <w:sz w:val="24"/>
              </w:rPr>
              <w:t> </w:t>
            </w:r>
            <w:r>
              <w:rPr>
                <w:sz w:val="24"/>
              </w:rPr>
              <w:t>Account </w:t>
            </w:r>
            <w:r>
              <w:rPr>
                <w:spacing w:val="-2"/>
                <w:sz w:val="24"/>
              </w:rPr>
              <w:t>Reporting;</w:t>
            </w:r>
          </w:p>
          <w:p>
            <w:pPr>
              <w:pStyle w:val="TableParagraph"/>
              <w:numPr>
                <w:ilvl w:val="0"/>
                <w:numId w:val="67"/>
              </w:numPr>
              <w:tabs>
                <w:tab w:pos="328" w:val="left" w:leader="none"/>
              </w:tabs>
              <w:spacing w:line="216" w:lineRule="auto" w:before="0" w:after="0"/>
              <w:ind w:left="327" w:right="767" w:hanging="216"/>
              <w:jc w:val="left"/>
              <w:rPr>
                <w:sz w:val="24"/>
              </w:rPr>
            </w:pPr>
            <w:hyperlink r:id="rId14">
              <w:r>
                <w:rPr>
                  <w:color w:val="0000FF"/>
                  <w:sz w:val="24"/>
                </w:rPr>
                <w:t>USSGL</w:t>
              </w:r>
            </w:hyperlink>
            <w:r>
              <w:rPr>
                <w:sz w:val="24"/>
              </w:rPr>
              <w:t>,</w:t>
            </w:r>
            <w:r>
              <w:rPr>
                <w:spacing w:val="-6"/>
                <w:sz w:val="24"/>
              </w:rPr>
              <w:t> </w:t>
            </w:r>
            <w:r>
              <w:rPr>
                <w:sz w:val="24"/>
              </w:rPr>
              <w:t>Section</w:t>
            </w:r>
            <w:r>
              <w:rPr>
                <w:spacing w:val="-7"/>
                <w:sz w:val="24"/>
              </w:rPr>
              <w:t> </w:t>
            </w:r>
            <w:r>
              <w:rPr>
                <w:sz w:val="24"/>
              </w:rPr>
              <w:t>V:</w:t>
            </w:r>
            <w:r>
              <w:rPr>
                <w:spacing w:val="-6"/>
                <w:sz w:val="24"/>
              </w:rPr>
              <w:t> </w:t>
            </w:r>
            <w:r>
              <w:rPr>
                <w:sz w:val="24"/>
              </w:rPr>
              <w:t>USSGL</w:t>
            </w:r>
            <w:r>
              <w:rPr>
                <w:spacing w:val="-7"/>
                <w:sz w:val="24"/>
              </w:rPr>
              <w:t> </w:t>
            </w:r>
            <w:r>
              <w:rPr>
                <w:sz w:val="24"/>
              </w:rPr>
              <w:t>Crosswalks</w:t>
            </w:r>
            <w:r>
              <w:rPr>
                <w:spacing w:val="-7"/>
                <w:sz w:val="24"/>
              </w:rPr>
              <w:t> </w:t>
            </w:r>
            <w:r>
              <w:rPr>
                <w:sz w:val="24"/>
              </w:rPr>
              <w:t>to</w:t>
            </w:r>
            <w:r>
              <w:rPr>
                <w:spacing w:val="-7"/>
                <w:sz w:val="24"/>
              </w:rPr>
              <w:t> </w:t>
            </w:r>
            <w:r>
              <w:rPr>
                <w:sz w:val="24"/>
              </w:rPr>
              <w:t>Standard External</w:t>
            </w:r>
            <w:r>
              <w:rPr>
                <w:spacing w:val="-14"/>
                <w:sz w:val="24"/>
              </w:rPr>
              <w:t> </w:t>
            </w:r>
            <w:r>
              <w:rPr>
                <w:sz w:val="24"/>
              </w:rPr>
              <w:t>Reports;</w:t>
            </w:r>
          </w:p>
          <w:p>
            <w:pPr>
              <w:pStyle w:val="TableParagraph"/>
              <w:numPr>
                <w:ilvl w:val="0"/>
                <w:numId w:val="67"/>
              </w:numPr>
              <w:tabs>
                <w:tab w:pos="328" w:val="left" w:leader="none"/>
              </w:tabs>
              <w:spacing w:line="248" w:lineRule="exact" w:before="0" w:after="0"/>
              <w:ind w:left="327" w:right="379" w:hanging="216"/>
              <w:jc w:val="left"/>
              <w:rPr>
                <w:sz w:val="24"/>
              </w:rPr>
            </w:pPr>
            <w:hyperlink r:id="rId14">
              <w:r>
                <w:rPr>
                  <w:color w:val="0000FF"/>
                  <w:sz w:val="24"/>
                </w:rPr>
                <w:t>USSGL</w:t>
              </w:r>
            </w:hyperlink>
            <w:r>
              <w:rPr>
                <w:sz w:val="24"/>
              </w:rPr>
              <w:t>,</w:t>
            </w:r>
            <w:r>
              <w:rPr>
                <w:spacing w:val="-6"/>
                <w:sz w:val="24"/>
              </w:rPr>
              <w:t> </w:t>
            </w:r>
            <w:r>
              <w:rPr>
                <w:sz w:val="24"/>
              </w:rPr>
              <w:t>Section</w:t>
            </w:r>
            <w:r>
              <w:rPr>
                <w:spacing w:val="-7"/>
                <w:sz w:val="24"/>
              </w:rPr>
              <w:t> </w:t>
            </w:r>
            <w:r>
              <w:rPr>
                <w:sz w:val="24"/>
              </w:rPr>
              <w:t>VI:</w:t>
            </w:r>
            <w:r>
              <w:rPr>
                <w:spacing w:val="-8"/>
                <w:sz w:val="24"/>
              </w:rPr>
              <w:t> </w:t>
            </w:r>
            <w:r>
              <w:rPr>
                <w:sz w:val="24"/>
              </w:rPr>
              <w:t>USSGL</w:t>
            </w:r>
            <w:r>
              <w:rPr>
                <w:spacing w:val="-7"/>
                <w:sz w:val="24"/>
              </w:rPr>
              <w:t> </w:t>
            </w:r>
            <w:r>
              <w:rPr>
                <w:sz w:val="24"/>
              </w:rPr>
              <w:t>Crosswalks</w:t>
            </w:r>
            <w:r>
              <w:rPr>
                <w:spacing w:val="-7"/>
                <w:sz w:val="24"/>
              </w:rPr>
              <w:t> </w:t>
            </w:r>
            <w:r>
              <w:rPr>
                <w:sz w:val="24"/>
              </w:rPr>
              <w:t>to</w:t>
            </w:r>
            <w:r>
              <w:rPr>
                <w:spacing w:val="-7"/>
                <w:sz w:val="24"/>
              </w:rPr>
              <w:t> </w:t>
            </w:r>
            <w:r>
              <w:rPr>
                <w:sz w:val="24"/>
              </w:rPr>
              <w:t>Reclassified </w:t>
            </w:r>
            <w:r>
              <w:rPr>
                <w:spacing w:val="-2"/>
                <w:sz w:val="24"/>
              </w:rPr>
              <w:t>Statements.</w:t>
            </w:r>
          </w:p>
        </w:tc>
      </w:tr>
    </w:tbl>
    <w:p>
      <w:pPr>
        <w:spacing w:after="0" w:line="248" w:lineRule="exact"/>
        <w:jc w:val="left"/>
        <w:rPr>
          <w:sz w:val="24"/>
        </w:rPr>
        <w:sectPr>
          <w:type w:val="continuous"/>
          <w:pgSz w:w="20160" w:h="12240" w:orient="landscape"/>
          <w:pgMar w:header="288" w:footer="728" w:top="1380" w:bottom="940" w:left="1320" w:right="1140"/>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5"/>
        <w:gridCol w:w="1761"/>
        <w:gridCol w:w="1984"/>
        <w:gridCol w:w="1534"/>
        <w:gridCol w:w="3834"/>
        <w:gridCol w:w="6628"/>
      </w:tblGrid>
      <w:tr>
        <w:trPr>
          <w:trHeight w:val="1301" w:hRule="atLeast"/>
        </w:trPr>
        <w:tc>
          <w:tcPr>
            <w:tcW w:w="1525" w:type="dxa"/>
            <w:shd w:val="clear" w:color="auto" w:fill="16375E"/>
          </w:tcPr>
          <w:p>
            <w:pPr>
              <w:pStyle w:val="TableParagraph"/>
              <w:spacing w:before="2"/>
              <w:ind w:left="0"/>
              <w:rPr>
                <w:sz w:val="34"/>
              </w:rPr>
            </w:pPr>
          </w:p>
          <w:p>
            <w:pPr>
              <w:pStyle w:val="TableParagraph"/>
              <w:spacing w:line="216" w:lineRule="auto"/>
              <w:ind w:left="641" w:right="243" w:hanging="387"/>
              <w:rPr>
                <w:b/>
                <w:sz w:val="24"/>
              </w:rPr>
            </w:pPr>
            <w:r>
              <w:rPr>
                <w:b/>
                <w:color w:val="FFFFFF"/>
                <w:spacing w:val="-2"/>
                <w:sz w:val="24"/>
              </w:rPr>
              <w:t>Function </w:t>
            </w:r>
            <w:r>
              <w:rPr>
                <w:b/>
                <w:color w:val="FFFFFF"/>
                <w:spacing w:val="-6"/>
                <w:sz w:val="24"/>
              </w:rPr>
              <w:t>ID</w:t>
            </w:r>
          </w:p>
        </w:tc>
        <w:tc>
          <w:tcPr>
            <w:tcW w:w="1761" w:type="dxa"/>
            <w:shd w:val="clear" w:color="auto" w:fill="16375E"/>
          </w:tcPr>
          <w:p>
            <w:pPr>
              <w:pStyle w:val="TableParagraph"/>
              <w:spacing w:line="216" w:lineRule="auto" w:before="20"/>
              <w:ind w:left="147" w:right="135" w:hanging="1"/>
              <w:jc w:val="center"/>
              <w:rPr>
                <w:b/>
                <w:sz w:val="24"/>
              </w:rPr>
            </w:pPr>
            <w:r>
              <w:rPr>
                <w:b/>
                <w:color w:val="FFFFFF"/>
                <w:spacing w:val="-2"/>
                <w:sz w:val="24"/>
              </w:rPr>
              <w:t>Federal Financial Management System Function</w:t>
            </w:r>
          </w:p>
        </w:tc>
        <w:tc>
          <w:tcPr>
            <w:tcW w:w="1984" w:type="dxa"/>
            <w:shd w:val="clear" w:color="auto" w:fill="16375E"/>
          </w:tcPr>
          <w:p>
            <w:pPr>
              <w:pStyle w:val="TableParagraph"/>
              <w:spacing w:before="2"/>
              <w:ind w:left="0"/>
              <w:rPr>
                <w:sz w:val="34"/>
              </w:rPr>
            </w:pPr>
          </w:p>
          <w:p>
            <w:pPr>
              <w:pStyle w:val="TableParagraph"/>
              <w:spacing w:line="216" w:lineRule="auto"/>
              <w:ind w:left="871" w:right="64" w:hanging="614"/>
              <w:rPr>
                <w:b/>
                <w:sz w:val="24"/>
              </w:rPr>
            </w:pPr>
            <w:r>
              <w:rPr>
                <w:b/>
                <w:color w:val="FFFFFF"/>
                <w:spacing w:val="-2"/>
                <w:sz w:val="24"/>
              </w:rPr>
              <w:t>Requirement </w:t>
            </w:r>
            <w:r>
              <w:rPr>
                <w:b/>
                <w:color w:val="FFFFFF"/>
                <w:spacing w:val="-6"/>
                <w:sz w:val="24"/>
              </w:rPr>
              <w:t>ID</w:t>
            </w:r>
          </w:p>
        </w:tc>
        <w:tc>
          <w:tcPr>
            <w:tcW w:w="1534" w:type="dxa"/>
            <w:shd w:val="clear" w:color="auto" w:fill="16375E"/>
          </w:tcPr>
          <w:p>
            <w:pPr>
              <w:pStyle w:val="TableParagraph"/>
              <w:spacing w:line="216" w:lineRule="auto" w:before="50"/>
              <w:ind w:left="181" w:right="447"/>
              <w:jc w:val="center"/>
              <w:rPr>
                <w:b/>
                <w:sz w:val="24"/>
              </w:rPr>
            </w:pPr>
            <w:r>
              <w:rPr>
                <w:b/>
                <w:color w:val="FFFFFF"/>
                <w:spacing w:val="-2"/>
                <w:sz w:val="24"/>
              </w:rPr>
              <w:t>DI-Data Input</w:t>
            </w:r>
          </w:p>
          <w:p>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pPr>
              <w:pStyle w:val="TableParagraph"/>
              <w:spacing w:before="2"/>
              <w:ind w:left="0"/>
              <w:rPr>
                <w:sz w:val="34"/>
              </w:rPr>
            </w:pPr>
          </w:p>
          <w:p>
            <w:pPr>
              <w:pStyle w:val="TableParagraph"/>
              <w:spacing w:line="216" w:lineRule="auto"/>
              <w:ind w:left="658" w:right="145" w:hanging="486"/>
              <w:rPr>
                <w:b/>
                <w:sz w:val="24"/>
              </w:rPr>
            </w:pPr>
            <w:r>
              <w:rPr>
                <w:b/>
                <w:color w:val="FFFFFF"/>
                <w:sz w:val="24"/>
              </w:rPr>
              <w:t>Federal</w:t>
            </w:r>
            <w:r>
              <w:rPr>
                <w:b/>
                <w:color w:val="FFFFFF"/>
                <w:spacing w:val="-17"/>
                <w:sz w:val="24"/>
              </w:rPr>
              <w:t> </w:t>
            </w:r>
            <w:r>
              <w:rPr>
                <w:b/>
                <w:color w:val="FFFFFF"/>
                <w:sz w:val="24"/>
              </w:rPr>
              <w:t>Financial</w:t>
            </w:r>
            <w:r>
              <w:rPr>
                <w:b/>
                <w:color w:val="FFFFFF"/>
                <w:spacing w:val="-17"/>
                <w:sz w:val="24"/>
              </w:rPr>
              <w:t> </w:t>
            </w:r>
            <w:r>
              <w:rPr>
                <w:b/>
                <w:color w:val="FFFFFF"/>
                <w:sz w:val="24"/>
              </w:rPr>
              <w:t>Management System Requirements</w:t>
            </w:r>
          </w:p>
        </w:tc>
        <w:tc>
          <w:tcPr>
            <w:tcW w:w="6628" w:type="dxa"/>
            <w:shd w:val="clear" w:color="auto" w:fill="16375E"/>
          </w:tcPr>
          <w:p>
            <w:pPr>
              <w:pStyle w:val="TableParagraph"/>
              <w:spacing w:before="2"/>
              <w:ind w:left="0"/>
              <w:rPr>
                <w:sz w:val="34"/>
              </w:rPr>
            </w:pPr>
          </w:p>
          <w:p>
            <w:pPr>
              <w:pStyle w:val="TableParagraph"/>
              <w:spacing w:line="216" w:lineRule="auto"/>
              <w:ind w:left="2737" w:hanging="2400"/>
              <w:rPr>
                <w:b/>
                <w:sz w:val="24"/>
              </w:rPr>
            </w:pPr>
            <w:r>
              <w:rPr>
                <w:b/>
                <w:color w:val="FFFFFF"/>
                <w:sz w:val="24"/>
              </w:rPr>
              <w:t>Federal</w:t>
            </w:r>
            <w:r>
              <w:rPr>
                <w:b/>
                <w:color w:val="FFFFFF"/>
                <w:spacing w:val="-10"/>
                <w:sz w:val="24"/>
              </w:rPr>
              <w:t> </w:t>
            </w:r>
            <w:r>
              <w:rPr>
                <w:b/>
                <w:color w:val="FFFFFF"/>
                <w:sz w:val="24"/>
              </w:rPr>
              <w:t>Financial</w:t>
            </w:r>
            <w:r>
              <w:rPr>
                <w:b/>
                <w:color w:val="FFFFFF"/>
                <w:spacing w:val="-10"/>
                <w:sz w:val="24"/>
              </w:rPr>
              <w:t> </w:t>
            </w:r>
            <w:r>
              <w:rPr>
                <w:b/>
                <w:color w:val="FFFFFF"/>
                <w:sz w:val="24"/>
              </w:rPr>
              <w:t>Management</w:t>
            </w:r>
            <w:r>
              <w:rPr>
                <w:b/>
                <w:color w:val="FFFFFF"/>
                <w:spacing w:val="-10"/>
                <w:sz w:val="24"/>
              </w:rPr>
              <w:t> </w:t>
            </w:r>
            <w:r>
              <w:rPr>
                <w:b/>
                <w:color w:val="FFFFFF"/>
                <w:sz w:val="24"/>
              </w:rPr>
              <w:t>System</w:t>
            </w:r>
            <w:r>
              <w:rPr>
                <w:b/>
                <w:color w:val="FFFFFF"/>
                <w:spacing w:val="-10"/>
                <w:sz w:val="24"/>
              </w:rPr>
              <w:t> </w:t>
            </w:r>
            <w:r>
              <w:rPr>
                <w:b/>
                <w:color w:val="FFFFFF"/>
                <w:sz w:val="24"/>
              </w:rPr>
              <w:t>Authoritative </w:t>
            </w:r>
            <w:r>
              <w:rPr>
                <w:b/>
                <w:color w:val="FFFFFF"/>
                <w:spacing w:val="-2"/>
                <w:sz w:val="24"/>
              </w:rPr>
              <w:t>Reference</w:t>
            </w:r>
          </w:p>
        </w:tc>
      </w:tr>
      <w:tr>
        <w:trPr>
          <w:trHeight w:val="3974" w:hRule="atLeast"/>
        </w:trPr>
        <w:tc>
          <w:tcPr>
            <w:tcW w:w="1525" w:type="dxa"/>
            <w:vMerge w:val="restart"/>
          </w:tcPr>
          <w:p>
            <w:pPr>
              <w:pStyle w:val="TableParagraph"/>
              <w:spacing w:line="244" w:lineRule="exact"/>
              <w:ind w:left="107"/>
              <w:rPr>
                <w:sz w:val="24"/>
              </w:rPr>
            </w:pPr>
            <w:r>
              <w:rPr>
                <w:spacing w:val="-4"/>
                <w:sz w:val="24"/>
              </w:rPr>
              <w:t>2.4.1</w:t>
            </w:r>
          </w:p>
        </w:tc>
        <w:tc>
          <w:tcPr>
            <w:tcW w:w="1761" w:type="dxa"/>
            <w:vMerge w:val="restart"/>
          </w:tcPr>
          <w:p>
            <w:pPr>
              <w:pStyle w:val="TableParagraph"/>
              <w:spacing w:line="216" w:lineRule="auto"/>
              <w:ind w:left="108" w:right="185"/>
              <w:rPr>
                <w:sz w:val="24"/>
              </w:rPr>
            </w:pPr>
            <w:r>
              <w:rPr>
                <w:spacing w:val="-2"/>
                <w:sz w:val="24"/>
              </w:rPr>
              <w:t>Securing Financial Management System Information</w:t>
            </w:r>
          </w:p>
        </w:tc>
        <w:tc>
          <w:tcPr>
            <w:tcW w:w="1984" w:type="dxa"/>
          </w:tcPr>
          <w:p>
            <w:pPr>
              <w:pStyle w:val="TableParagraph"/>
              <w:spacing w:line="244" w:lineRule="exact"/>
              <w:ind w:left="107"/>
              <w:rPr>
                <w:sz w:val="24"/>
              </w:rPr>
            </w:pPr>
            <w:r>
              <w:rPr>
                <w:spacing w:val="-2"/>
                <w:sz w:val="24"/>
              </w:rPr>
              <w:t>2.4.1.1</w:t>
            </w:r>
          </w:p>
        </w:tc>
        <w:tc>
          <w:tcPr>
            <w:tcW w:w="1534" w:type="dxa"/>
          </w:tcPr>
          <w:p>
            <w:pPr>
              <w:pStyle w:val="TableParagraph"/>
              <w:spacing w:line="244" w:lineRule="exact"/>
              <w:ind w:left="109"/>
              <w:rPr>
                <w:sz w:val="24"/>
              </w:rPr>
            </w:pPr>
            <w:r>
              <w:rPr>
                <w:sz w:val="24"/>
              </w:rPr>
              <w:t>P</w:t>
            </w:r>
          </w:p>
        </w:tc>
        <w:tc>
          <w:tcPr>
            <w:tcW w:w="3834" w:type="dxa"/>
          </w:tcPr>
          <w:p>
            <w:pPr>
              <w:pStyle w:val="TableParagraph"/>
              <w:spacing w:line="216" w:lineRule="auto"/>
              <w:ind w:left="110" w:right="96"/>
              <w:rPr>
                <w:sz w:val="24"/>
              </w:rPr>
            </w:pPr>
            <w:r>
              <w:rPr>
                <w:sz w:val="24"/>
              </w:rPr>
              <w:t>Provide and monitor federal information system security controls consistent with information system category (low, moderate, high), impact on security objectives</w:t>
            </w:r>
            <w:r>
              <w:rPr>
                <w:spacing w:val="40"/>
                <w:sz w:val="24"/>
              </w:rPr>
              <w:t> </w:t>
            </w:r>
            <w:r>
              <w:rPr>
                <w:sz w:val="24"/>
              </w:rPr>
              <w:t>(confidentiality, integrity, availability), and minimum</w:t>
            </w:r>
            <w:r>
              <w:rPr>
                <w:spacing w:val="40"/>
                <w:sz w:val="24"/>
              </w:rPr>
              <w:t> </w:t>
            </w:r>
            <w:r>
              <w:rPr>
                <w:sz w:val="24"/>
              </w:rPr>
              <w:t>security requirements (for example, access control, configuration management, and incident</w:t>
            </w:r>
            <w:r>
              <w:rPr>
                <w:spacing w:val="-10"/>
                <w:sz w:val="24"/>
              </w:rPr>
              <w:t> </w:t>
            </w:r>
            <w:r>
              <w:rPr>
                <w:sz w:val="24"/>
              </w:rPr>
              <w:t>response)</w:t>
            </w:r>
            <w:r>
              <w:rPr>
                <w:spacing w:val="-10"/>
                <w:sz w:val="24"/>
              </w:rPr>
              <w:t> </w:t>
            </w:r>
            <w:r>
              <w:rPr>
                <w:sz w:val="24"/>
              </w:rPr>
              <w:t>as</w:t>
            </w:r>
            <w:r>
              <w:rPr>
                <w:spacing w:val="-10"/>
                <w:sz w:val="24"/>
              </w:rPr>
              <w:t> </w:t>
            </w:r>
            <w:r>
              <w:rPr>
                <w:sz w:val="24"/>
              </w:rPr>
              <w:t>specified</w:t>
            </w:r>
            <w:r>
              <w:rPr>
                <w:spacing w:val="-10"/>
                <w:sz w:val="24"/>
              </w:rPr>
              <w:t> </w:t>
            </w:r>
            <w:r>
              <w:rPr>
                <w:sz w:val="24"/>
              </w:rPr>
              <w:t>by National Institute of Standards and Technology (NIST) and consistent with OMB Circular No.</w:t>
            </w:r>
          </w:p>
          <w:p>
            <w:pPr>
              <w:pStyle w:val="TableParagraph"/>
              <w:spacing w:line="238" w:lineRule="exact"/>
              <w:ind w:left="110"/>
              <w:rPr>
                <w:sz w:val="24"/>
              </w:rPr>
            </w:pPr>
            <w:r>
              <w:rPr>
                <w:spacing w:val="-2"/>
                <w:sz w:val="24"/>
              </w:rPr>
              <w:t>A-</w:t>
            </w:r>
            <w:r>
              <w:rPr>
                <w:spacing w:val="-4"/>
                <w:sz w:val="24"/>
              </w:rPr>
              <w:t>130.</w:t>
            </w:r>
          </w:p>
        </w:tc>
        <w:tc>
          <w:tcPr>
            <w:tcW w:w="6628" w:type="dxa"/>
          </w:tcPr>
          <w:p>
            <w:pPr>
              <w:pStyle w:val="TableParagraph"/>
              <w:numPr>
                <w:ilvl w:val="0"/>
                <w:numId w:val="68"/>
              </w:numPr>
              <w:tabs>
                <w:tab w:pos="328" w:val="left" w:leader="none"/>
              </w:tabs>
              <w:spacing w:line="216" w:lineRule="auto" w:before="0" w:after="0"/>
              <w:ind w:left="327" w:right="138" w:hanging="216"/>
              <w:jc w:val="left"/>
              <w:rPr>
                <w:sz w:val="24"/>
              </w:rPr>
            </w:pPr>
            <w:hyperlink r:id="rId71">
              <w:r>
                <w:rPr>
                  <w:color w:val="0000FF"/>
                  <w:sz w:val="24"/>
                </w:rPr>
                <w:t>NIST</w:t>
              </w:r>
              <w:r>
                <w:rPr>
                  <w:color w:val="0000FF"/>
                  <w:spacing w:val="-8"/>
                  <w:sz w:val="24"/>
                </w:rPr>
                <w:t> </w:t>
              </w:r>
              <w:r>
                <w:rPr>
                  <w:color w:val="0000FF"/>
                  <w:sz w:val="24"/>
                </w:rPr>
                <w:t>Special</w:t>
              </w:r>
              <w:r>
                <w:rPr>
                  <w:color w:val="0000FF"/>
                  <w:spacing w:val="-8"/>
                  <w:sz w:val="24"/>
                </w:rPr>
                <w:t> </w:t>
              </w:r>
              <w:r>
                <w:rPr>
                  <w:color w:val="0000FF"/>
                  <w:sz w:val="24"/>
                </w:rPr>
                <w:t>Publication</w:t>
              </w:r>
              <w:r>
                <w:rPr>
                  <w:color w:val="0000FF"/>
                  <w:spacing w:val="-8"/>
                  <w:sz w:val="24"/>
                </w:rPr>
                <w:t> </w:t>
              </w:r>
              <w:r>
                <w:rPr>
                  <w:color w:val="0000FF"/>
                  <w:sz w:val="24"/>
                </w:rPr>
                <w:t>800-53</w:t>
              </w:r>
            </w:hyperlink>
            <w:r>
              <w:rPr>
                <w:sz w:val="24"/>
              </w:rPr>
              <w:t>,</w:t>
            </w:r>
            <w:r>
              <w:rPr>
                <w:spacing w:val="-7"/>
                <w:sz w:val="24"/>
              </w:rPr>
              <w:t> </w:t>
            </w:r>
            <w:r>
              <w:rPr>
                <w:sz w:val="24"/>
              </w:rPr>
              <w:t>Recommended</w:t>
            </w:r>
            <w:r>
              <w:rPr>
                <w:spacing w:val="-8"/>
                <w:sz w:val="24"/>
              </w:rPr>
              <w:t> </w:t>
            </w:r>
            <w:r>
              <w:rPr>
                <w:sz w:val="24"/>
              </w:rPr>
              <w:t>Security Controls for Federal Information Systems;</w:t>
            </w:r>
          </w:p>
          <w:p>
            <w:pPr>
              <w:pStyle w:val="TableParagraph"/>
              <w:numPr>
                <w:ilvl w:val="0"/>
                <w:numId w:val="68"/>
              </w:numPr>
              <w:tabs>
                <w:tab w:pos="328" w:val="left" w:leader="none"/>
              </w:tabs>
              <w:spacing w:line="216" w:lineRule="auto" w:before="0" w:after="0"/>
              <w:ind w:left="327" w:right="259" w:hanging="216"/>
              <w:jc w:val="left"/>
              <w:rPr>
                <w:sz w:val="24"/>
              </w:rPr>
            </w:pPr>
            <w:hyperlink r:id="rId72">
              <w:r>
                <w:rPr>
                  <w:color w:val="0000FF"/>
                  <w:sz w:val="24"/>
                </w:rPr>
                <w:t>NIST Federal Information Processing Standards (FIPS)</w:t>
              </w:r>
            </w:hyperlink>
            <w:r>
              <w:rPr>
                <w:color w:val="0000FF"/>
                <w:sz w:val="24"/>
              </w:rPr>
              <w:t> </w:t>
            </w:r>
            <w:hyperlink r:id="rId72">
              <w:r>
                <w:rPr>
                  <w:color w:val="0000FF"/>
                  <w:sz w:val="24"/>
                </w:rPr>
                <w:t>Publication</w:t>
              </w:r>
              <w:r>
                <w:rPr>
                  <w:color w:val="0000FF"/>
                  <w:spacing w:val="-6"/>
                  <w:sz w:val="24"/>
                </w:rPr>
                <w:t> </w:t>
              </w:r>
              <w:r>
                <w:rPr>
                  <w:color w:val="0000FF"/>
                  <w:sz w:val="24"/>
                </w:rPr>
                <w:t>199</w:t>
              </w:r>
            </w:hyperlink>
            <w:r>
              <w:rPr>
                <w:sz w:val="24"/>
              </w:rPr>
              <w:t>,</w:t>
            </w:r>
            <w:r>
              <w:rPr>
                <w:spacing w:val="-6"/>
                <w:sz w:val="24"/>
              </w:rPr>
              <w:t> </w:t>
            </w:r>
            <w:r>
              <w:rPr>
                <w:sz w:val="24"/>
              </w:rPr>
              <w:t>Standards</w:t>
            </w:r>
            <w:r>
              <w:rPr>
                <w:spacing w:val="-7"/>
                <w:sz w:val="24"/>
              </w:rPr>
              <w:t> </w:t>
            </w:r>
            <w:r>
              <w:rPr>
                <w:sz w:val="24"/>
              </w:rPr>
              <w:t>for</w:t>
            </w:r>
            <w:r>
              <w:rPr>
                <w:spacing w:val="-7"/>
                <w:sz w:val="24"/>
              </w:rPr>
              <w:t> </w:t>
            </w:r>
            <w:r>
              <w:rPr>
                <w:sz w:val="24"/>
              </w:rPr>
              <w:t>Security</w:t>
            </w:r>
            <w:r>
              <w:rPr>
                <w:spacing w:val="-7"/>
                <w:sz w:val="24"/>
              </w:rPr>
              <w:t> </w:t>
            </w:r>
            <w:r>
              <w:rPr>
                <w:sz w:val="24"/>
              </w:rPr>
              <w:t>Categorization</w:t>
            </w:r>
            <w:r>
              <w:rPr>
                <w:spacing w:val="-6"/>
                <w:sz w:val="24"/>
              </w:rPr>
              <w:t> </w:t>
            </w:r>
            <w:r>
              <w:rPr>
                <w:sz w:val="24"/>
              </w:rPr>
              <w:t>of Federal Information and Information Systems;</w:t>
            </w:r>
          </w:p>
          <w:p>
            <w:pPr>
              <w:pStyle w:val="TableParagraph"/>
              <w:numPr>
                <w:ilvl w:val="0"/>
                <w:numId w:val="68"/>
              </w:numPr>
              <w:tabs>
                <w:tab w:pos="328" w:val="left" w:leader="none"/>
              </w:tabs>
              <w:spacing w:line="216" w:lineRule="auto" w:before="0" w:after="0"/>
              <w:ind w:left="327" w:right="566" w:hanging="216"/>
              <w:jc w:val="left"/>
              <w:rPr>
                <w:sz w:val="24"/>
              </w:rPr>
            </w:pPr>
            <w:hyperlink r:id="rId73">
              <w:r>
                <w:rPr>
                  <w:color w:val="0000FF"/>
                  <w:sz w:val="24"/>
                </w:rPr>
                <w:t>NIST FIPS Publication 200</w:t>
              </w:r>
            </w:hyperlink>
            <w:r>
              <w:rPr>
                <w:sz w:val="24"/>
              </w:rPr>
              <w:t>, Minimum Security Requirements</w:t>
            </w:r>
            <w:r>
              <w:rPr>
                <w:spacing w:val="-8"/>
                <w:sz w:val="24"/>
              </w:rPr>
              <w:t> </w:t>
            </w:r>
            <w:r>
              <w:rPr>
                <w:sz w:val="24"/>
              </w:rPr>
              <w:t>for</w:t>
            </w:r>
            <w:r>
              <w:rPr>
                <w:spacing w:val="-9"/>
                <w:sz w:val="24"/>
              </w:rPr>
              <w:t> </w:t>
            </w:r>
            <w:r>
              <w:rPr>
                <w:sz w:val="24"/>
              </w:rPr>
              <w:t>Federal</w:t>
            </w:r>
            <w:r>
              <w:rPr>
                <w:spacing w:val="-8"/>
                <w:sz w:val="24"/>
              </w:rPr>
              <w:t> </w:t>
            </w:r>
            <w:r>
              <w:rPr>
                <w:sz w:val="24"/>
              </w:rPr>
              <w:t>Information</w:t>
            </w:r>
            <w:r>
              <w:rPr>
                <w:spacing w:val="-8"/>
                <w:sz w:val="24"/>
              </w:rPr>
              <w:t> </w:t>
            </w:r>
            <w:r>
              <w:rPr>
                <w:sz w:val="24"/>
              </w:rPr>
              <w:t>and</w:t>
            </w:r>
            <w:r>
              <w:rPr>
                <w:spacing w:val="-8"/>
                <w:sz w:val="24"/>
              </w:rPr>
              <w:t> </w:t>
            </w:r>
            <w:r>
              <w:rPr>
                <w:sz w:val="24"/>
              </w:rPr>
              <w:t>Information </w:t>
            </w:r>
            <w:r>
              <w:rPr>
                <w:spacing w:val="-2"/>
                <w:sz w:val="24"/>
              </w:rPr>
              <w:t>Systems;</w:t>
            </w:r>
          </w:p>
          <w:p>
            <w:pPr>
              <w:pStyle w:val="TableParagraph"/>
              <w:numPr>
                <w:ilvl w:val="0"/>
                <w:numId w:val="68"/>
              </w:numPr>
              <w:tabs>
                <w:tab w:pos="328" w:val="left" w:leader="none"/>
              </w:tabs>
              <w:spacing w:line="213" w:lineRule="auto" w:before="0" w:after="0"/>
              <w:ind w:left="327" w:right="725" w:hanging="216"/>
              <w:jc w:val="left"/>
              <w:rPr>
                <w:sz w:val="24"/>
              </w:rPr>
            </w:pPr>
            <w:hyperlink r:id="rId41">
              <w:r>
                <w:rPr>
                  <w:color w:val="0000FF"/>
                  <w:sz w:val="24"/>
                </w:rPr>
                <w:t>OMB</w:t>
              </w:r>
            </w:hyperlink>
            <w:r>
              <w:rPr>
                <w:color w:val="0000FF"/>
                <w:spacing w:val="-6"/>
                <w:sz w:val="24"/>
              </w:rPr>
              <w:t> </w:t>
            </w:r>
            <w:r>
              <w:rPr>
                <w:sz w:val="24"/>
              </w:rPr>
              <w:t>Circular</w:t>
            </w:r>
            <w:r>
              <w:rPr>
                <w:spacing w:val="-5"/>
                <w:sz w:val="24"/>
              </w:rPr>
              <w:t> </w:t>
            </w:r>
            <w:r>
              <w:rPr>
                <w:sz w:val="24"/>
              </w:rPr>
              <w:t>No.</w:t>
            </w:r>
            <w:r>
              <w:rPr>
                <w:spacing w:val="-5"/>
                <w:sz w:val="24"/>
              </w:rPr>
              <w:t> </w:t>
            </w:r>
            <w:r>
              <w:rPr>
                <w:sz w:val="24"/>
              </w:rPr>
              <w:t>A-130,</w:t>
            </w:r>
            <w:r>
              <w:rPr>
                <w:spacing w:val="-6"/>
                <w:sz w:val="24"/>
              </w:rPr>
              <w:t> </w:t>
            </w:r>
            <w:r>
              <w:rPr>
                <w:sz w:val="24"/>
              </w:rPr>
              <w:t>Managing</w:t>
            </w:r>
            <w:r>
              <w:rPr>
                <w:spacing w:val="-6"/>
                <w:sz w:val="24"/>
              </w:rPr>
              <w:t> </w:t>
            </w:r>
            <w:r>
              <w:rPr>
                <w:sz w:val="24"/>
              </w:rPr>
              <w:t>Information</w:t>
            </w:r>
            <w:r>
              <w:rPr>
                <w:spacing w:val="-6"/>
                <w:sz w:val="24"/>
              </w:rPr>
              <w:t> </w:t>
            </w:r>
            <w:r>
              <w:rPr>
                <w:sz w:val="24"/>
              </w:rPr>
              <w:t>as</w:t>
            </w:r>
            <w:r>
              <w:rPr>
                <w:spacing w:val="-6"/>
                <w:sz w:val="24"/>
              </w:rPr>
              <w:t> </w:t>
            </w:r>
            <w:r>
              <w:rPr>
                <w:sz w:val="24"/>
              </w:rPr>
              <w:t>a Strategic</w:t>
            </w:r>
            <w:r>
              <w:rPr>
                <w:spacing w:val="-2"/>
                <w:sz w:val="24"/>
              </w:rPr>
              <w:t> </w:t>
            </w:r>
            <w:r>
              <w:rPr>
                <w:sz w:val="24"/>
              </w:rPr>
              <w:t>Resource;</w:t>
            </w:r>
          </w:p>
          <w:p>
            <w:pPr>
              <w:pStyle w:val="TableParagraph"/>
              <w:numPr>
                <w:ilvl w:val="0"/>
                <w:numId w:val="68"/>
              </w:numPr>
              <w:tabs>
                <w:tab w:pos="328" w:val="left" w:leader="none"/>
              </w:tabs>
              <w:spacing w:line="216" w:lineRule="auto" w:before="0" w:after="0"/>
              <w:ind w:left="327" w:right="459" w:hanging="216"/>
              <w:jc w:val="left"/>
              <w:rPr>
                <w:sz w:val="24"/>
              </w:rPr>
            </w:pPr>
            <w:hyperlink r:id="rId74">
              <w:r>
                <w:rPr>
                  <w:color w:val="0000FF"/>
                  <w:sz w:val="24"/>
                </w:rPr>
                <w:t>Federal</w:t>
              </w:r>
              <w:r>
                <w:rPr>
                  <w:color w:val="0000FF"/>
                  <w:spacing w:val="-7"/>
                  <w:sz w:val="24"/>
                </w:rPr>
                <w:t> </w:t>
              </w:r>
              <w:r>
                <w:rPr>
                  <w:color w:val="0000FF"/>
                  <w:sz w:val="24"/>
                </w:rPr>
                <w:t>Information</w:t>
              </w:r>
              <w:r>
                <w:rPr>
                  <w:color w:val="0000FF"/>
                  <w:spacing w:val="-7"/>
                  <w:sz w:val="24"/>
                </w:rPr>
                <w:t> </w:t>
              </w:r>
              <w:r>
                <w:rPr>
                  <w:color w:val="0000FF"/>
                  <w:sz w:val="24"/>
                </w:rPr>
                <w:t>Security</w:t>
              </w:r>
              <w:r>
                <w:rPr>
                  <w:color w:val="0000FF"/>
                  <w:spacing w:val="-7"/>
                  <w:sz w:val="24"/>
                </w:rPr>
                <w:t> </w:t>
              </w:r>
              <w:r>
                <w:rPr>
                  <w:color w:val="0000FF"/>
                  <w:sz w:val="24"/>
                </w:rPr>
                <w:t>Management</w:t>
              </w:r>
              <w:r>
                <w:rPr>
                  <w:color w:val="0000FF"/>
                  <w:spacing w:val="-7"/>
                  <w:sz w:val="24"/>
                </w:rPr>
                <w:t> </w:t>
              </w:r>
              <w:r>
                <w:rPr>
                  <w:color w:val="0000FF"/>
                  <w:sz w:val="24"/>
                </w:rPr>
                <w:t>Act</w:t>
              </w:r>
              <w:r>
                <w:rPr>
                  <w:color w:val="0000FF"/>
                  <w:spacing w:val="-6"/>
                  <w:sz w:val="24"/>
                </w:rPr>
                <w:t> </w:t>
              </w:r>
              <w:r>
                <w:rPr>
                  <w:color w:val="0000FF"/>
                  <w:sz w:val="24"/>
                </w:rPr>
                <w:t>of</w:t>
              </w:r>
              <w:r>
                <w:rPr>
                  <w:color w:val="0000FF"/>
                  <w:spacing w:val="-7"/>
                  <w:sz w:val="24"/>
                </w:rPr>
                <w:t> </w:t>
              </w:r>
              <w:r>
                <w:rPr>
                  <w:color w:val="0000FF"/>
                  <w:sz w:val="24"/>
                </w:rPr>
                <w:t>2014</w:t>
              </w:r>
            </w:hyperlink>
            <w:r>
              <w:rPr>
                <w:sz w:val="24"/>
              </w:rPr>
              <w:t>, Public Law 113-283.</w:t>
            </w:r>
          </w:p>
        </w:tc>
      </w:tr>
      <w:tr>
        <w:trPr>
          <w:trHeight w:val="2236" w:hRule="atLeast"/>
        </w:trPr>
        <w:tc>
          <w:tcPr>
            <w:tcW w:w="1525" w:type="dxa"/>
            <w:vMerge/>
            <w:tcBorders>
              <w:top w:val="nil"/>
            </w:tcBorders>
          </w:tcPr>
          <w:p>
            <w:pPr>
              <w:rPr>
                <w:sz w:val="2"/>
                <w:szCs w:val="2"/>
              </w:rPr>
            </w:pPr>
          </w:p>
        </w:tc>
        <w:tc>
          <w:tcPr>
            <w:tcW w:w="1761" w:type="dxa"/>
            <w:vMerge/>
            <w:tcBorders>
              <w:top w:val="nil"/>
            </w:tcBorders>
          </w:tcPr>
          <w:p>
            <w:pPr>
              <w:rPr>
                <w:sz w:val="2"/>
                <w:szCs w:val="2"/>
              </w:rPr>
            </w:pPr>
          </w:p>
        </w:tc>
        <w:tc>
          <w:tcPr>
            <w:tcW w:w="1984" w:type="dxa"/>
          </w:tcPr>
          <w:p>
            <w:pPr>
              <w:pStyle w:val="TableParagraph"/>
              <w:spacing w:line="245" w:lineRule="exact"/>
              <w:ind w:left="107"/>
              <w:rPr>
                <w:sz w:val="24"/>
              </w:rPr>
            </w:pPr>
            <w:r>
              <w:rPr>
                <w:spacing w:val="-2"/>
                <w:sz w:val="24"/>
              </w:rPr>
              <w:t>2.4.1.2</w:t>
            </w:r>
          </w:p>
        </w:tc>
        <w:tc>
          <w:tcPr>
            <w:tcW w:w="1534" w:type="dxa"/>
          </w:tcPr>
          <w:p>
            <w:pPr>
              <w:pStyle w:val="TableParagraph"/>
              <w:spacing w:line="245" w:lineRule="exact"/>
              <w:ind w:left="109"/>
              <w:rPr>
                <w:sz w:val="24"/>
              </w:rPr>
            </w:pPr>
            <w:r>
              <w:rPr>
                <w:sz w:val="24"/>
              </w:rPr>
              <w:t>P</w:t>
            </w:r>
          </w:p>
        </w:tc>
        <w:tc>
          <w:tcPr>
            <w:tcW w:w="3834" w:type="dxa"/>
          </w:tcPr>
          <w:p>
            <w:pPr>
              <w:pStyle w:val="TableParagraph"/>
              <w:spacing w:line="216" w:lineRule="auto"/>
              <w:ind w:left="110" w:right="145"/>
              <w:rPr>
                <w:sz w:val="24"/>
              </w:rPr>
            </w:pPr>
            <w:r>
              <w:rPr>
                <w:sz w:val="24"/>
              </w:rPr>
              <w:t>Provide</w:t>
            </w:r>
            <w:r>
              <w:rPr>
                <w:spacing w:val="-3"/>
                <w:sz w:val="24"/>
              </w:rPr>
              <w:t> </w:t>
            </w:r>
            <w:r>
              <w:rPr>
                <w:sz w:val="24"/>
              </w:rPr>
              <w:t>and</w:t>
            </w:r>
            <w:r>
              <w:rPr>
                <w:spacing w:val="-3"/>
                <w:sz w:val="24"/>
              </w:rPr>
              <w:t> </w:t>
            </w:r>
            <w:r>
              <w:rPr>
                <w:sz w:val="24"/>
              </w:rPr>
              <w:t>monitor</w:t>
            </w:r>
            <w:r>
              <w:rPr>
                <w:spacing w:val="-3"/>
                <w:sz w:val="24"/>
              </w:rPr>
              <w:t> </w:t>
            </w:r>
            <w:r>
              <w:rPr>
                <w:sz w:val="24"/>
              </w:rPr>
              <w:t>protection</w:t>
            </w:r>
            <w:r>
              <w:rPr>
                <w:spacing w:val="-3"/>
                <w:sz w:val="24"/>
              </w:rPr>
              <w:t> </w:t>
            </w:r>
            <w:r>
              <w:rPr>
                <w:sz w:val="24"/>
              </w:rPr>
              <w:t>of personally</w:t>
            </w:r>
            <w:r>
              <w:rPr>
                <w:spacing w:val="-17"/>
                <w:sz w:val="24"/>
              </w:rPr>
              <w:t> </w:t>
            </w:r>
            <w:r>
              <w:rPr>
                <w:sz w:val="24"/>
              </w:rPr>
              <w:t>identifiable</w:t>
            </w:r>
            <w:r>
              <w:rPr>
                <w:spacing w:val="-17"/>
                <w:sz w:val="24"/>
              </w:rPr>
              <w:t> </w:t>
            </w:r>
            <w:r>
              <w:rPr>
                <w:sz w:val="24"/>
              </w:rPr>
              <w:t>information about individuals collected, maintained, used, and disseminated by the Federal Financial</w:t>
            </w:r>
            <w:r>
              <w:rPr>
                <w:spacing w:val="-9"/>
                <w:sz w:val="24"/>
              </w:rPr>
              <w:t> </w:t>
            </w:r>
            <w:r>
              <w:rPr>
                <w:sz w:val="24"/>
              </w:rPr>
              <w:t>Management</w:t>
            </w:r>
            <w:r>
              <w:rPr>
                <w:spacing w:val="-7"/>
                <w:sz w:val="24"/>
              </w:rPr>
              <w:t> </w:t>
            </w:r>
            <w:r>
              <w:rPr>
                <w:sz w:val="24"/>
              </w:rPr>
              <w:t>System</w:t>
            </w:r>
            <w:r>
              <w:rPr>
                <w:spacing w:val="-9"/>
                <w:sz w:val="24"/>
              </w:rPr>
              <w:t> </w:t>
            </w:r>
            <w:r>
              <w:rPr>
                <w:sz w:val="24"/>
              </w:rPr>
              <w:t>in support of the Privacy Act and consistent with OMB</w:t>
            </w:r>
            <w:r>
              <w:rPr>
                <w:spacing w:val="-2"/>
                <w:sz w:val="24"/>
              </w:rPr>
              <w:t> </w:t>
            </w:r>
            <w:r>
              <w:rPr>
                <w:sz w:val="24"/>
              </w:rPr>
              <w:t>Circular No.</w:t>
            </w:r>
          </w:p>
          <w:p>
            <w:pPr>
              <w:pStyle w:val="TableParagraph"/>
              <w:spacing w:line="238" w:lineRule="exact"/>
              <w:ind w:left="110"/>
              <w:rPr>
                <w:sz w:val="24"/>
              </w:rPr>
            </w:pPr>
            <w:r>
              <w:rPr>
                <w:spacing w:val="-2"/>
                <w:sz w:val="24"/>
              </w:rPr>
              <w:t>A-</w:t>
            </w:r>
            <w:r>
              <w:rPr>
                <w:spacing w:val="-4"/>
                <w:sz w:val="24"/>
              </w:rPr>
              <w:t>130.</w:t>
            </w:r>
          </w:p>
        </w:tc>
        <w:tc>
          <w:tcPr>
            <w:tcW w:w="6628" w:type="dxa"/>
          </w:tcPr>
          <w:p>
            <w:pPr>
              <w:pStyle w:val="TableParagraph"/>
              <w:numPr>
                <w:ilvl w:val="0"/>
                <w:numId w:val="69"/>
              </w:numPr>
              <w:tabs>
                <w:tab w:pos="328" w:val="left" w:leader="none"/>
              </w:tabs>
              <w:spacing w:line="216" w:lineRule="auto" w:before="0" w:after="0"/>
              <w:ind w:left="327" w:right="725" w:hanging="216"/>
              <w:jc w:val="left"/>
              <w:rPr>
                <w:sz w:val="24"/>
              </w:rPr>
            </w:pPr>
            <w:hyperlink r:id="rId41">
              <w:r>
                <w:rPr>
                  <w:color w:val="0000FF"/>
                  <w:sz w:val="24"/>
                </w:rPr>
                <w:t>OMB</w:t>
              </w:r>
            </w:hyperlink>
            <w:r>
              <w:rPr>
                <w:color w:val="0000FF"/>
                <w:spacing w:val="-6"/>
                <w:sz w:val="24"/>
              </w:rPr>
              <w:t> </w:t>
            </w:r>
            <w:r>
              <w:rPr>
                <w:sz w:val="24"/>
              </w:rPr>
              <w:t>Circular</w:t>
            </w:r>
            <w:r>
              <w:rPr>
                <w:spacing w:val="-5"/>
                <w:sz w:val="24"/>
              </w:rPr>
              <w:t> </w:t>
            </w:r>
            <w:r>
              <w:rPr>
                <w:sz w:val="24"/>
              </w:rPr>
              <w:t>No.</w:t>
            </w:r>
            <w:r>
              <w:rPr>
                <w:spacing w:val="-5"/>
                <w:sz w:val="24"/>
              </w:rPr>
              <w:t> </w:t>
            </w:r>
            <w:r>
              <w:rPr>
                <w:sz w:val="24"/>
              </w:rPr>
              <w:t>A-130,</w:t>
            </w:r>
            <w:r>
              <w:rPr>
                <w:spacing w:val="-6"/>
                <w:sz w:val="24"/>
              </w:rPr>
              <w:t> </w:t>
            </w:r>
            <w:r>
              <w:rPr>
                <w:sz w:val="24"/>
              </w:rPr>
              <w:t>Managing</w:t>
            </w:r>
            <w:r>
              <w:rPr>
                <w:spacing w:val="-6"/>
                <w:sz w:val="24"/>
              </w:rPr>
              <w:t> </w:t>
            </w:r>
            <w:r>
              <w:rPr>
                <w:sz w:val="24"/>
              </w:rPr>
              <w:t>Information</w:t>
            </w:r>
            <w:r>
              <w:rPr>
                <w:spacing w:val="-6"/>
                <w:sz w:val="24"/>
              </w:rPr>
              <w:t> </w:t>
            </w:r>
            <w:r>
              <w:rPr>
                <w:sz w:val="24"/>
              </w:rPr>
              <w:t>as</w:t>
            </w:r>
            <w:r>
              <w:rPr>
                <w:spacing w:val="-6"/>
                <w:sz w:val="24"/>
              </w:rPr>
              <w:t> </w:t>
            </w:r>
            <w:r>
              <w:rPr>
                <w:sz w:val="24"/>
              </w:rPr>
              <w:t>a Strategic Resource, Part 5.e., Policy, Information Management and Access;</w:t>
            </w:r>
          </w:p>
          <w:p>
            <w:pPr>
              <w:pStyle w:val="TableParagraph"/>
              <w:numPr>
                <w:ilvl w:val="0"/>
                <w:numId w:val="69"/>
              </w:numPr>
              <w:tabs>
                <w:tab w:pos="328" w:val="left" w:leader="none"/>
              </w:tabs>
              <w:spacing w:line="216" w:lineRule="auto" w:before="0" w:after="0"/>
              <w:ind w:left="327" w:right="725" w:hanging="216"/>
              <w:jc w:val="both"/>
              <w:rPr>
                <w:sz w:val="24"/>
              </w:rPr>
            </w:pPr>
            <w:hyperlink r:id="rId41">
              <w:r>
                <w:rPr>
                  <w:color w:val="0000FF"/>
                  <w:sz w:val="24"/>
                </w:rPr>
                <w:t>OMB</w:t>
              </w:r>
            </w:hyperlink>
            <w:r>
              <w:rPr>
                <w:color w:val="0000FF"/>
                <w:spacing w:val="-6"/>
                <w:sz w:val="24"/>
              </w:rPr>
              <w:t> </w:t>
            </w:r>
            <w:r>
              <w:rPr>
                <w:sz w:val="24"/>
              </w:rPr>
              <w:t>Circular</w:t>
            </w:r>
            <w:r>
              <w:rPr>
                <w:spacing w:val="-5"/>
                <w:sz w:val="24"/>
              </w:rPr>
              <w:t> </w:t>
            </w:r>
            <w:r>
              <w:rPr>
                <w:sz w:val="24"/>
              </w:rPr>
              <w:t>No.</w:t>
            </w:r>
            <w:r>
              <w:rPr>
                <w:spacing w:val="-5"/>
                <w:sz w:val="24"/>
              </w:rPr>
              <w:t> </w:t>
            </w:r>
            <w:r>
              <w:rPr>
                <w:sz w:val="24"/>
              </w:rPr>
              <w:t>A-130,</w:t>
            </w:r>
            <w:r>
              <w:rPr>
                <w:spacing w:val="-6"/>
                <w:sz w:val="24"/>
              </w:rPr>
              <w:t> </w:t>
            </w:r>
            <w:r>
              <w:rPr>
                <w:sz w:val="24"/>
              </w:rPr>
              <w:t>Managing</w:t>
            </w:r>
            <w:r>
              <w:rPr>
                <w:spacing w:val="-6"/>
                <w:sz w:val="24"/>
              </w:rPr>
              <w:t> </w:t>
            </w:r>
            <w:r>
              <w:rPr>
                <w:sz w:val="24"/>
              </w:rPr>
              <w:t>Information</w:t>
            </w:r>
            <w:r>
              <w:rPr>
                <w:spacing w:val="-6"/>
                <w:sz w:val="24"/>
              </w:rPr>
              <w:t> </w:t>
            </w:r>
            <w:r>
              <w:rPr>
                <w:sz w:val="24"/>
              </w:rPr>
              <w:t>as</w:t>
            </w:r>
            <w:r>
              <w:rPr>
                <w:spacing w:val="-6"/>
                <w:sz w:val="24"/>
              </w:rPr>
              <w:t> </w:t>
            </w:r>
            <w:r>
              <w:rPr>
                <w:sz w:val="24"/>
              </w:rPr>
              <w:t>a Strategic Resource, Appendix II,</w:t>
            </w:r>
            <w:r>
              <w:rPr>
                <w:spacing w:val="-1"/>
                <w:sz w:val="24"/>
              </w:rPr>
              <w:t> </w:t>
            </w:r>
            <w:r>
              <w:rPr>
                <w:sz w:val="24"/>
              </w:rPr>
              <w:t>Responsibilities for Managing Personally Identifiable Information;</w:t>
            </w:r>
          </w:p>
          <w:p>
            <w:pPr>
              <w:pStyle w:val="TableParagraph"/>
              <w:numPr>
                <w:ilvl w:val="0"/>
                <w:numId w:val="69"/>
              </w:numPr>
              <w:tabs>
                <w:tab w:pos="328" w:val="left" w:leader="none"/>
              </w:tabs>
              <w:spacing w:line="216" w:lineRule="auto" w:before="0" w:after="0"/>
              <w:ind w:left="327" w:right="459" w:hanging="216"/>
              <w:jc w:val="both"/>
              <w:rPr>
                <w:sz w:val="24"/>
              </w:rPr>
            </w:pPr>
            <w:hyperlink r:id="rId74">
              <w:r>
                <w:rPr>
                  <w:color w:val="0000FF"/>
                  <w:sz w:val="24"/>
                </w:rPr>
                <w:t>Federal</w:t>
              </w:r>
              <w:r>
                <w:rPr>
                  <w:color w:val="0000FF"/>
                  <w:spacing w:val="-7"/>
                  <w:sz w:val="24"/>
                </w:rPr>
                <w:t> </w:t>
              </w:r>
              <w:r>
                <w:rPr>
                  <w:color w:val="0000FF"/>
                  <w:sz w:val="24"/>
                </w:rPr>
                <w:t>Information</w:t>
              </w:r>
              <w:r>
                <w:rPr>
                  <w:color w:val="0000FF"/>
                  <w:spacing w:val="-7"/>
                  <w:sz w:val="24"/>
                </w:rPr>
                <w:t> </w:t>
              </w:r>
              <w:r>
                <w:rPr>
                  <w:color w:val="0000FF"/>
                  <w:sz w:val="24"/>
                </w:rPr>
                <w:t>Security</w:t>
              </w:r>
              <w:r>
                <w:rPr>
                  <w:color w:val="0000FF"/>
                  <w:spacing w:val="-7"/>
                  <w:sz w:val="24"/>
                </w:rPr>
                <w:t> </w:t>
              </w:r>
              <w:r>
                <w:rPr>
                  <w:color w:val="0000FF"/>
                  <w:sz w:val="24"/>
                </w:rPr>
                <w:t>Management</w:t>
              </w:r>
              <w:r>
                <w:rPr>
                  <w:color w:val="0000FF"/>
                  <w:spacing w:val="-7"/>
                  <w:sz w:val="24"/>
                </w:rPr>
                <w:t> </w:t>
              </w:r>
              <w:r>
                <w:rPr>
                  <w:color w:val="0000FF"/>
                  <w:sz w:val="24"/>
                </w:rPr>
                <w:t>Act</w:t>
              </w:r>
              <w:r>
                <w:rPr>
                  <w:color w:val="0000FF"/>
                  <w:spacing w:val="-6"/>
                  <w:sz w:val="24"/>
                </w:rPr>
                <w:t> </w:t>
              </w:r>
              <w:r>
                <w:rPr>
                  <w:color w:val="0000FF"/>
                  <w:sz w:val="24"/>
                </w:rPr>
                <w:t>of</w:t>
              </w:r>
              <w:r>
                <w:rPr>
                  <w:color w:val="0000FF"/>
                  <w:spacing w:val="-7"/>
                  <w:sz w:val="24"/>
                </w:rPr>
                <w:t> </w:t>
              </w:r>
              <w:r>
                <w:rPr>
                  <w:color w:val="0000FF"/>
                  <w:sz w:val="24"/>
                </w:rPr>
                <w:t>2014</w:t>
              </w:r>
            </w:hyperlink>
            <w:r>
              <w:rPr>
                <w:sz w:val="24"/>
              </w:rPr>
              <w:t>, Public Law 113- 283.</w:t>
            </w:r>
          </w:p>
        </w:tc>
      </w:tr>
    </w:tbl>
    <w:sectPr>
      <w:pgSz w:w="20160" w:h="12240" w:orient="landscape"/>
      <w:pgMar w:header="288" w:footer="728" w:top="1380" w:bottom="940" w:left="132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 w:name="Symbol">
    <w:altName w:val="Symbol"/>
    <w:charset w:val="2"/>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153536" from="72pt,566.549988pt" to="936pt,566.549988pt" stroked="true" strokeweight="2.15pt" strokecolor="#001f5f">
          <v:stroke dashstyle="solid"/>
          <w10:wrap type="none"/>
        </v:line>
      </w:pict>
    </w:r>
    <w:r>
      <w:rPr/>
      <w:pict>
        <v:shape style="position:absolute;margin-left:71.419998pt;margin-top:567.436707pt;width:146.050pt;height:15.45pt;mso-position-horizontal-relative:page;mso-position-vertical-relative:page;z-index:-17153024" type="#_x0000_t202" id="docshape2" filled="false" stroked="false">
          <v:textbox inset="0,0,0,0">
            <w:txbxContent>
              <w:p>
                <w:pPr>
                  <w:spacing w:before="12"/>
                  <w:ind w:left="20" w:right="0" w:firstLine="0"/>
                  <w:jc w:val="left"/>
                  <w:rPr>
                    <w:b/>
                    <w:sz w:val="24"/>
                  </w:rPr>
                </w:pPr>
                <w:r>
                  <w:rPr>
                    <w:b/>
                    <w:color w:val="043152"/>
                    <w:sz w:val="24"/>
                  </w:rPr>
                  <w:t>Lead.</w:t>
                </w:r>
                <w:r>
                  <w:rPr>
                    <w:b/>
                    <w:color w:val="043152"/>
                    <w:spacing w:val="-4"/>
                    <w:sz w:val="24"/>
                  </w:rPr>
                  <w:t> </w:t>
                </w:r>
                <w:r>
                  <w:rPr>
                    <w:b/>
                    <w:color w:val="043152"/>
                    <w:sz w:val="24"/>
                  </w:rPr>
                  <w:t>Transform.</w:t>
                </w:r>
                <w:r>
                  <w:rPr>
                    <w:b/>
                    <w:color w:val="043152"/>
                    <w:spacing w:val="-3"/>
                    <w:sz w:val="24"/>
                  </w:rPr>
                  <w:t> </w:t>
                </w:r>
                <w:r>
                  <w:rPr>
                    <w:b/>
                    <w:color w:val="043152"/>
                    <w:spacing w:val="-2"/>
                    <w:sz w:val="24"/>
                  </w:rPr>
                  <w:t>Deliver.</w:t>
                </w:r>
              </w:p>
            </w:txbxContent>
          </v:textbox>
          <w10:wrap type="none"/>
        </v:shape>
      </w:pict>
    </w:r>
    <w:r>
      <w:rPr/>
      <w:pict>
        <v:shape style="position:absolute;margin-left:647.384338pt;margin-top:570.587097pt;width:289.650pt;height:28.05pt;mso-position-horizontal-relative:page;mso-position-vertical-relative:page;z-index:-17152512" type="#_x0000_t202" id="docshape3" filled="false" stroked="false">
          <v:textbox inset="0,0,0,0">
            <w:txbxContent>
              <w:p>
                <w:pPr>
                  <w:spacing w:before="15"/>
                  <w:ind w:left="0" w:right="20" w:firstLine="0"/>
                  <w:jc w:val="right"/>
                  <w:rPr>
                    <w:sz w:val="17"/>
                  </w:rPr>
                </w:pPr>
                <w:r>
                  <w:rPr>
                    <w:color w:val="043152"/>
                    <w:sz w:val="17"/>
                  </w:rPr>
                  <w:t>Department</w:t>
                </w:r>
                <w:r>
                  <w:rPr>
                    <w:color w:val="043152"/>
                    <w:spacing w:val="-7"/>
                    <w:sz w:val="17"/>
                  </w:rPr>
                  <w:t> </w:t>
                </w:r>
                <w:r>
                  <w:rPr>
                    <w:color w:val="043152"/>
                    <w:sz w:val="17"/>
                  </w:rPr>
                  <w:t>of</w:t>
                </w:r>
                <w:r>
                  <w:rPr>
                    <w:color w:val="043152"/>
                    <w:spacing w:val="-4"/>
                    <w:sz w:val="17"/>
                  </w:rPr>
                  <w:t> </w:t>
                </w:r>
                <w:r>
                  <w:rPr>
                    <w:color w:val="043152"/>
                    <w:sz w:val="17"/>
                  </w:rPr>
                  <w:t>the</w:t>
                </w:r>
                <w:r>
                  <w:rPr>
                    <w:color w:val="043152"/>
                    <w:spacing w:val="-5"/>
                    <w:sz w:val="17"/>
                  </w:rPr>
                  <w:t> </w:t>
                </w:r>
                <w:r>
                  <w:rPr>
                    <w:color w:val="043152"/>
                    <w:sz w:val="17"/>
                  </w:rPr>
                  <w:t>Treasury</w:t>
                </w:r>
                <w:r>
                  <w:rPr>
                    <w:color w:val="043152"/>
                    <w:spacing w:val="-4"/>
                    <w:sz w:val="17"/>
                  </w:rPr>
                  <w:t> </w:t>
                </w:r>
                <w:r>
                  <w:rPr>
                    <w:color w:val="043152"/>
                    <w:sz w:val="17"/>
                  </w:rPr>
                  <w:t>•</w:t>
                </w:r>
                <w:r>
                  <w:rPr>
                    <w:color w:val="043152"/>
                    <w:spacing w:val="-5"/>
                    <w:sz w:val="17"/>
                  </w:rPr>
                  <w:t> </w:t>
                </w:r>
                <w:r>
                  <w:rPr>
                    <w:color w:val="043152"/>
                    <w:sz w:val="17"/>
                  </w:rPr>
                  <w:t>Bureau</w:t>
                </w:r>
                <w:r>
                  <w:rPr>
                    <w:color w:val="043152"/>
                    <w:spacing w:val="-4"/>
                    <w:sz w:val="17"/>
                  </w:rPr>
                  <w:t> </w:t>
                </w:r>
                <w:r>
                  <w:rPr>
                    <w:color w:val="043152"/>
                    <w:sz w:val="17"/>
                  </w:rPr>
                  <w:t>of</w:t>
                </w:r>
                <w:r>
                  <w:rPr>
                    <w:color w:val="043152"/>
                    <w:spacing w:val="-5"/>
                    <w:sz w:val="17"/>
                  </w:rPr>
                  <w:t> </w:t>
                </w:r>
                <w:r>
                  <w:rPr>
                    <w:color w:val="043152"/>
                    <w:sz w:val="17"/>
                  </w:rPr>
                  <w:t>the</w:t>
                </w:r>
                <w:r>
                  <w:rPr>
                    <w:color w:val="043152"/>
                    <w:spacing w:val="-4"/>
                    <w:sz w:val="17"/>
                  </w:rPr>
                  <w:t> </w:t>
                </w:r>
                <w:r>
                  <w:rPr>
                    <w:color w:val="043152"/>
                    <w:sz w:val="17"/>
                  </w:rPr>
                  <w:t>Fiscal</w:t>
                </w:r>
                <w:r>
                  <w:rPr>
                    <w:color w:val="043152"/>
                    <w:spacing w:val="-4"/>
                    <w:sz w:val="17"/>
                  </w:rPr>
                  <w:t> </w:t>
                </w:r>
                <w:r>
                  <w:rPr>
                    <w:color w:val="043152"/>
                    <w:sz w:val="17"/>
                  </w:rPr>
                  <w:t>Service</w:t>
                </w:r>
                <w:r>
                  <w:rPr>
                    <w:color w:val="043152"/>
                    <w:spacing w:val="-5"/>
                    <w:sz w:val="17"/>
                  </w:rPr>
                  <w:t> </w:t>
                </w:r>
                <w:r>
                  <w:rPr>
                    <w:color w:val="043152"/>
                    <w:sz w:val="17"/>
                  </w:rPr>
                  <w:t>•</w:t>
                </w:r>
                <w:r>
                  <w:rPr>
                    <w:color w:val="043152"/>
                    <w:spacing w:val="-4"/>
                    <w:sz w:val="17"/>
                  </w:rPr>
                  <w:t> </w:t>
                </w:r>
                <w:r>
                  <w:rPr>
                    <w:color w:val="043152"/>
                    <w:sz w:val="17"/>
                  </w:rPr>
                  <w:t>Washington,</w:t>
                </w:r>
                <w:r>
                  <w:rPr>
                    <w:color w:val="043152"/>
                    <w:spacing w:val="-4"/>
                    <w:sz w:val="17"/>
                  </w:rPr>
                  <w:t> </w:t>
                </w:r>
                <w:r>
                  <w:rPr>
                    <w:color w:val="043152"/>
                    <w:spacing w:val="-5"/>
                    <w:sz w:val="17"/>
                  </w:rPr>
                  <w:t>DC</w:t>
                </w:r>
              </w:p>
              <w:p>
                <w:pPr>
                  <w:spacing w:before="134"/>
                  <w:ind w:left="0" w:right="18" w:firstLine="0"/>
                  <w:jc w:val="right"/>
                  <w:rPr>
                    <w:sz w:val="17"/>
                  </w:rPr>
                </w:pPr>
                <w:r>
                  <w:rPr>
                    <w:color w:val="043152"/>
                    <w:w w:val="100"/>
                    <w:sz w:val="17"/>
                  </w:rPr>
                  <w:t>i</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150976" from="72pt,565.899902pt" to="936pt,565.899902pt" stroked="true" strokeweight="2.15pt" strokecolor="#001f5f">
          <v:stroke dashstyle="solid"/>
          <w10:wrap type="none"/>
        </v:line>
      </w:pict>
    </w:r>
    <w:r>
      <w:rPr/>
      <w:pict>
        <v:shape style="position:absolute;margin-left:71.419998pt;margin-top:567.436707pt;width:146.050pt;height:15.45pt;mso-position-horizontal-relative:page;mso-position-vertical-relative:page;z-index:-17150464" type="#_x0000_t202" id="docshape5" filled="false" stroked="false">
          <v:textbox inset="0,0,0,0">
            <w:txbxContent>
              <w:p>
                <w:pPr>
                  <w:spacing w:before="12"/>
                  <w:ind w:left="20" w:right="0" w:firstLine="0"/>
                  <w:jc w:val="left"/>
                  <w:rPr>
                    <w:b/>
                    <w:sz w:val="24"/>
                  </w:rPr>
                </w:pPr>
                <w:r>
                  <w:rPr>
                    <w:b/>
                    <w:color w:val="043152"/>
                    <w:sz w:val="24"/>
                  </w:rPr>
                  <w:t>Lead.</w:t>
                </w:r>
                <w:r>
                  <w:rPr>
                    <w:b/>
                    <w:color w:val="043152"/>
                    <w:spacing w:val="-3"/>
                    <w:sz w:val="24"/>
                  </w:rPr>
                  <w:t> </w:t>
                </w:r>
                <w:r>
                  <w:rPr>
                    <w:b/>
                    <w:color w:val="043152"/>
                    <w:sz w:val="24"/>
                  </w:rPr>
                  <w:t>Transform.</w:t>
                </w:r>
                <w:r>
                  <w:rPr>
                    <w:b/>
                    <w:color w:val="043152"/>
                    <w:spacing w:val="-3"/>
                    <w:sz w:val="24"/>
                  </w:rPr>
                  <w:t> </w:t>
                </w:r>
                <w:r>
                  <w:rPr>
                    <w:b/>
                    <w:color w:val="043152"/>
                    <w:spacing w:val="-2"/>
                    <w:sz w:val="24"/>
                  </w:rPr>
                  <w:t>Deliver.</w:t>
                </w:r>
              </w:p>
            </w:txbxContent>
          </v:textbox>
          <w10:wrap type="none"/>
        </v:shape>
      </w:pict>
    </w:r>
    <w:r>
      <w:rPr/>
      <w:pict>
        <v:shape style="position:absolute;margin-left:647.384338pt;margin-top:570.587097pt;width:289.650pt;height:28.05pt;mso-position-horizontal-relative:page;mso-position-vertical-relative:page;z-index:-17149952" type="#_x0000_t202" id="docshape6" filled="false" stroked="false">
          <v:textbox inset="0,0,0,0">
            <w:txbxContent>
              <w:p>
                <w:pPr>
                  <w:spacing w:before="15"/>
                  <w:ind w:left="0" w:right="21" w:firstLine="0"/>
                  <w:jc w:val="right"/>
                  <w:rPr>
                    <w:sz w:val="17"/>
                  </w:rPr>
                </w:pPr>
                <w:r>
                  <w:rPr>
                    <w:color w:val="043152"/>
                    <w:sz w:val="17"/>
                  </w:rPr>
                  <w:t>Department</w:t>
                </w:r>
                <w:r>
                  <w:rPr>
                    <w:color w:val="043152"/>
                    <w:spacing w:val="-7"/>
                    <w:sz w:val="17"/>
                  </w:rPr>
                  <w:t> </w:t>
                </w:r>
                <w:r>
                  <w:rPr>
                    <w:color w:val="043152"/>
                    <w:sz w:val="17"/>
                  </w:rPr>
                  <w:t>of</w:t>
                </w:r>
                <w:r>
                  <w:rPr>
                    <w:color w:val="043152"/>
                    <w:spacing w:val="-4"/>
                    <w:sz w:val="17"/>
                  </w:rPr>
                  <w:t> </w:t>
                </w:r>
                <w:r>
                  <w:rPr>
                    <w:color w:val="043152"/>
                    <w:sz w:val="17"/>
                  </w:rPr>
                  <w:t>the</w:t>
                </w:r>
                <w:r>
                  <w:rPr>
                    <w:color w:val="043152"/>
                    <w:spacing w:val="-5"/>
                    <w:sz w:val="17"/>
                  </w:rPr>
                  <w:t> </w:t>
                </w:r>
                <w:r>
                  <w:rPr>
                    <w:color w:val="043152"/>
                    <w:sz w:val="17"/>
                  </w:rPr>
                  <w:t>Treasury</w:t>
                </w:r>
                <w:r>
                  <w:rPr>
                    <w:color w:val="043152"/>
                    <w:spacing w:val="-4"/>
                    <w:sz w:val="17"/>
                  </w:rPr>
                  <w:t> </w:t>
                </w:r>
                <w:r>
                  <w:rPr>
                    <w:color w:val="043152"/>
                    <w:sz w:val="17"/>
                  </w:rPr>
                  <w:t>•</w:t>
                </w:r>
                <w:r>
                  <w:rPr>
                    <w:color w:val="043152"/>
                    <w:spacing w:val="-5"/>
                    <w:sz w:val="17"/>
                  </w:rPr>
                  <w:t> </w:t>
                </w:r>
                <w:r>
                  <w:rPr>
                    <w:color w:val="043152"/>
                    <w:sz w:val="17"/>
                  </w:rPr>
                  <w:t>Bureau</w:t>
                </w:r>
                <w:r>
                  <w:rPr>
                    <w:color w:val="043152"/>
                    <w:spacing w:val="-4"/>
                    <w:sz w:val="17"/>
                  </w:rPr>
                  <w:t> </w:t>
                </w:r>
                <w:r>
                  <w:rPr>
                    <w:color w:val="043152"/>
                    <w:sz w:val="17"/>
                  </w:rPr>
                  <w:t>of</w:t>
                </w:r>
                <w:r>
                  <w:rPr>
                    <w:color w:val="043152"/>
                    <w:spacing w:val="-5"/>
                    <w:sz w:val="17"/>
                  </w:rPr>
                  <w:t> </w:t>
                </w:r>
                <w:r>
                  <w:rPr>
                    <w:color w:val="043152"/>
                    <w:sz w:val="17"/>
                  </w:rPr>
                  <w:t>the</w:t>
                </w:r>
                <w:r>
                  <w:rPr>
                    <w:color w:val="043152"/>
                    <w:spacing w:val="-4"/>
                    <w:sz w:val="17"/>
                  </w:rPr>
                  <w:t> </w:t>
                </w:r>
                <w:r>
                  <w:rPr>
                    <w:color w:val="043152"/>
                    <w:sz w:val="17"/>
                  </w:rPr>
                  <w:t>Fiscal</w:t>
                </w:r>
                <w:r>
                  <w:rPr>
                    <w:color w:val="043152"/>
                    <w:spacing w:val="-4"/>
                    <w:sz w:val="17"/>
                  </w:rPr>
                  <w:t> </w:t>
                </w:r>
                <w:r>
                  <w:rPr>
                    <w:color w:val="043152"/>
                    <w:sz w:val="17"/>
                  </w:rPr>
                  <w:t>Service</w:t>
                </w:r>
                <w:r>
                  <w:rPr>
                    <w:color w:val="043152"/>
                    <w:spacing w:val="-5"/>
                    <w:sz w:val="17"/>
                  </w:rPr>
                  <w:t> </w:t>
                </w:r>
                <w:r>
                  <w:rPr>
                    <w:color w:val="043152"/>
                    <w:sz w:val="17"/>
                  </w:rPr>
                  <w:t>•</w:t>
                </w:r>
                <w:r>
                  <w:rPr>
                    <w:color w:val="043152"/>
                    <w:spacing w:val="-4"/>
                    <w:sz w:val="17"/>
                  </w:rPr>
                  <w:t> </w:t>
                </w:r>
                <w:r>
                  <w:rPr>
                    <w:color w:val="043152"/>
                    <w:sz w:val="17"/>
                  </w:rPr>
                  <w:t>Washington,</w:t>
                </w:r>
                <w:r>
                  <w:rPr>
                    <w:color w:val="043152"/>
                    <w:spacing w:val="-4"/>
                    <w:sz w:val="17"/>
                  </w:rPr>
                  <w:t> </w:t>
                </w:r>
                <w:r>
                  <w:rPr>
                    <w:color w:val="043152"/>
                    <w:spacing w:val="-5"/>
                    <w:sz w:val="17"/>
                  </w:rPr>
                  <w:t>DC</w:t>
                </w:r>
              </w:p>
              <w:p>
                <w:pPr>
                  <w:spacing w:before="134"/>
                  <w:ind w:left="0" w:right="18" w:firstLine="0"/>
                  <w:jc w:val="right"/>
                  <w:rPr>
                    <w:sz w:val="17"/>
                  </w:rPr>
                </w:pPr>
                <w:r>
                  <w:rPr>
                    <w:color w:val="043152"/>
                    <w:sz w:val="17"/>
                  </w:rPr>
                  <w:t>Page</w:t>
                </w:r>
                <w:r>
                  <w:rPr>
                    <w:color w:val="043152"/>
                    <w:spacing w:val="-2"/>
                    <w:sz w:val="17"/>
                  </w:rPr>
                  <w:t> </w:t>
                </w:r>
                <w:r>
                  <w:rPr>
                    <w:color w:val="043152"/>
                    <w:sz w:val="17"/>
                  </w:rPr>
                  <w:fldChar w:fldCharType="begin"/>
                </w:r>
                <w:r>
                  <w:rPr>
                    <w:color w:val="043152"/>
                    <w:sz w:val="17"/>
                  </w:rPr>
                  <w:instrText> PAGE </w:instrText>
                </w:r>
                <w:r>
                  <w:rPr>
                    <w:color w:val="043152"/>
                    <w:sz w:val="17"/>
                  </w:rPr>
                  <w:fldChar w:fldCharType="separate"/>
                </w:r>
                <w:r>
                  <w:rPr>
                    <w:color w:val="043152"/>
                    <w:sz w:val="17"/>
                  </w:rPr>
                  <w:t>10</w:t>
                </w:r>
                <w:r>
                  <w:rPr>
                    <w:color w:val="043152"/>
                    <w:sz w:val="17"/>
                  </w:rPr>
                  <w:fldChar w:fldCharType="end"/>
                </w:r>
                <w:r>
                  <w:rPr>
                    <w:color w:val="043152"/>
                    <w:spacing w:val="-2"/>
                    <w:sz w:val="17"/>
                  </w:rPr>
                  <w:t> </w:t>
                </w:r>
                <w:r>
                  <w:rPr>
                    <w:color w:val="043152"/>
                    <w:sz w:val="17"/>
                  </w:rPr>
                  <w:t>of</w:t>
                </w:r>
                <w:r>
                  <w:rPr>
                    <w:color w:val="043152"/>
                    <w:spacing w:val="-1"/>
                    <w:sz w:val="17"/>
                  </w:rPr>
                  <w:t> </w:t>
                </w:r>
                <w:r>
                  <w:rPr>
                    <w:color w:val="043152"/>
                    <w:spacing w:val="-5"/>
                    <w:sz w:val="17"/>
                  </w:rPr>
                  <w:fldChar w:fldCharType="begin"/>
                </w:r>
                <w:r>
                  <w:rPr>
                    <w:color w:val="043152"/>
                    <w:spacing w:val="-5"/>
                    <w:sz w:val="17"/>
                  </w:rPr>
                  <w:instrText> NUMPAGES </w:instrText>
                </w:r>
                <w:r>
                  <w:rPr>
                    <w:color w:val="043152"/>
                    <w:spacing w:val="-5"/>
                    <w:sz w:val="17"/>
                  </w:rPr>
                  <w:fldChar w:fldCharType="separate"/>
                </w:r>
                <w:r>
                  <w:rPr>
                    <w:color w:val="043152"/>
                    <w:spacing w:val="-5"/>
                    <w:sz w:val="17"/>
                  </w:rPr>
                  <w:t>39</w:t>
                </w:r>
                <w:r>
                  <w:rPr>
                    <w:color w:val="043152"/>
                    <w:spacing w:val="-5"/>
                    <w:sz w:val="17"/>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6161920">
          <wp:simplePos x="0" y="0"/>
          <wp:positionH relativeFrom="page">
            <wp:posOffset>914400</wp:posOffset>
          </wp:positionH>
          <wp:positionV relativeFrom="page">
            <wp:posOffset>182879</wp:posOffset>
          </wp:positionV>
          <wp:extent cx="1360843" cy="429247"/>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1" cstate="print"/>
                  <a:stretch>
                    <a:fillRect/>
                  </a:stretch>
                </pic:blipFill>
                <pic:spPr>
                  <a:xfrm>
                    <a:off x="0" y="0"/>
                    <a:ext cx="1360843" cy="429247"/>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700.319458pt;margin-top:40.675919pt;width:236.7pt;height:29.35pt;mso-position-horizontal-relative:page;mso-position-vertical-relative:page;z-index:-17154048" type="#_x0000_t202" id="docshape1" filled="false" stroked="false">
          <v:textbox inset="0,0,0,0">
            <w:txbxContent>
              <w:p>
                <w:pPr>
                  <w:spacing w:before="14"/>
                  <w:ind w:left="20" w:right="18" w:firstLine="417"/>
                  <w:jc w:val="right"/>
                  <w:rPr>
                    <w:sz w:val="16"/>
                  </w:rPr>
                </w:pPr>
                <w:r>
                  <w:rPr>
                    <w:color w:val="043152"/>
                    <w:sz w:val="16"/>
                  </w:rPr>
                  <w:t>Federal</w:t>
                </w:r>
                <w:r>
                  <w:rPr>
                    <w:color w:val="043152"/>
                    <w:spacing w:val="-2"/>
                    <w:sz w:val="16"/>
                  </w:rPr>
                  <w:t> </w:t>
                </w:r>
                <w:r>
                  <w:rPr>
                    <w:color w:val="043152"/>
                    <w:sz w:val="16"/>
                  </w:rPr>
                  <w:t>Financial</w:t>
                </w:r>
                <w:r>
                  <w:rPr>
                    <w:color w:val="043152"/>
                    <w:spacing w:val="-3"/>
                    <w:sz w:val="16"/>
                  </w:rPr>
                  <w:t> </w:t>
                </w:r>
                <w:r>
                  <w:rPr>
                    <w:color w:val="043152"/>
                    <w:sz w:val="16"/>
                  </w:rPr>
                  <w:t>Management</w:t>
                </w:r>
                <w:r>
                  <w:rPr>
                    <w:color w:val="043152"/>
                    <w:spacing w:val="-4"/>
                    <w:sz w:val="16"/>
                  </w:rPr>
                  <w:t> </w:t>
                </w:r>
                <w:r>
                  <w:rPr>
                    <w:color w:val="043152"/>
                    <w:sz w:val="16"/>
                  </w:rPr>
                  <w:t>(FFM)</w:t>
                </w:r>
                <w:r>
                  <w:rPr>
                    <w:color w:val="043152"/>
                    <w:spacing w:val="-4"/>
                    <w:sz w:val="16"/>
                  </w:rPr>
                  <w:t> </w:t>
                </w:r>
                <w:r>
                  <w:rPr>
                    <w:color w:val="043152"/>
                    <w:sz w:val="16"/>
                  </w:rPr>
                  <w:t>Business</w:t>
                </w:r>
                <w:r>
                  <w:rPr>
                    <w:color w:val="043152"/>
                    <w:spacing w:val="-3"/>
                    <w:sz w:val="16"/>
                  </w:rPr>
                  <w:t> </w:t>
                </w:r>
                <w:r>
                  <w:rPr>
                    <w:color w:val="043152"/>
                    <w:sz w:val="16"/>
                  </w:rPr>
                  <w:t>Capabilities </w:t>
                </w:r>
                <w:r>
                  <w:rPr>
                    <w:color w:val="043152"/>
                    <w:spacing w:val="-2"/>
                    <w:sz w:val="16"/>
                  </w:rPr>
                  <w:t>(Federal</w:t>
                </w:r>
                <w:r>
                  <w:rPr>
                    <w:color w:val="043152"/>
                    <w:spacing w:val="5"/>
                    <w:sz w:val="16"/>
                  </w:rPr>
                  <w:t> </w:t>
                </w:r>
                <w:r>
                  <w:rPr>
                    <w:color w:val="043152"/>
                    <w:spacing w:val="-2"/>
                    <w:sz w:val="16"/>
                  </w:rPr>
                  <w:t>Financial</w:t>
                </w:r>
                <w:r>
                  <w:rPr>
                    <w:color w:val="043152"/>
                    <w:spacing w:val="5"/>
                    <w:sz w:val="16"/>
                  </w:rPr>
                  <w:t> </w:t>
                </w:r>
                <w:r>
                  <w:rPr>
                    <w:color w:val="043152"/>
                    <w:spacing w:val="-2"/>
                    <w:sz w:val="16"/>
                  </w:rPr>
                  <w:t>Management</w:t>
                </w:r>
                <w:r>
                  <w:rPr>
                    <w:color w:val="043152"/>
                    <w:spacing w:val="7"/>
                    <w:sz w:val="16"/>
                  </w:rPr>
                  <w:t> </w:t>
                </w:r>
                <w:r>
                  <w:rPr>
                    <w:color w:val="043152"/>
                    <w:spacing w:val="-2"/>
                    <w:sz w:val="16"/>
                  </w:rPr>
                  <w:t>System</w:t>
                </w:r>
                <w:r>
                  <w:rPr>
                    <w:color w:val="043152"/>
                    <w:spacing w:val="5"/>
                    <w:sz w:val="16"/>
                  </w:rPr>
                  <w:t> </w:t>
                </w:r>
                <w:r>
                  <w:rPr>
                    <w:color w:val="043152"/>
                    <w:spacing w:val="-2"/>
                    <w:sz w:val="16"/>
                  </w:rPr>
                  <w:t>Requirements</w:t>
                </w:r>
                <w:r>
                  <w:rPr>
                    <w:color w:val="043152"/>
                    <w:spacing w:val="8"/>
                    <w:sz w:val="16"/>
                  </w:rPr>
                  <w:t> </w:t>
                </w:r>
                <w:r>
                  <w:rPr>
                    <w:color w:val="043152"/>
                    <w:spacing w:val="-2"/>
                    <w:sz w:val="16"/>
                  </w:rPr>
                  <w:t>[FFMSRs])</w:t>
                </w:r>
              </w:p>
              <w:p>
                <w:pPr>
                  <w:spacing w:before="0"/>
                  <w:ind w:left="0" w:right="18" w:firstLine="0"/>
                  <w:jc w:val="right"/>
                  <w:rPr>
                    <w:sz w:val="16"/>
                  </w:rPr>
                </w:pPr>
                <w:r>
                  <w:rPr>
                    <w:color w:val="043152"/>
                    <w:sz w:val="16"/>
                  </w:rPr>
                  <w:t>Version</w:t>
                </w:r>
                <w:r>
                  <w:rPr>
                    <w:color w:val="043152"/>
                    <w:spacing w:val="-10"/>
                    <w:sz w:val="16"/>
                  </w:rPr>
                  <w:t> </w:t>
                </w:r>
                <w:r>
                  <w:rPr>
                    <w:color w:val="043152"/>
                    <w:spacing w:val="-5"/>
                    <w:sz w:val="16"/>
                  </w:rPr>
                  <w:t>1.1</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6164480">
          <wp:simplePos x="0" y="0"/>
          <wp:positionH relativeFrom="page">
            <wp:posOffset>914400</wp:posOffset>
          </wp:positionH>
          <wp:positionV relativeFrom="page">
            <wp:posOffset>182879</wp:posOffset>
          </wp:positionV>
          <wp:extent cx="1360843" cy="429247"/>
          <wp:effectExtent l="0" t="0" r="0" b="0"/>
          <wp:wrapNone/>
          <wp:docPr id="5" name="image2.jpeg"/>
          <wp:cNvGraphicFramePr>
            <a:graphicFrameLocks noChangeAspect="1"/>
          </wp:cNvGraphicFramePr>
          <a:graphic>
            <a:graphicData uri="http://schemas.openxmlformats.org/drawingml/2006/picture">
              <pic:pic>
                <pic:nvPicPr>
                  <pic:cNvPr id="6" name="image2.jpeg"/>
                  <pic:cNvPicPr/>
                </pic:nvPicPr>
                <pic:blipFill>
                  <a:blip r:embed="rId1" cstate="print"/>
                  <a:stretch>
                    <a:fillRect/>
                  </a:stretch>
                </pic:blipFill>
                <pic:spPr>
                  <a:xfrm>
                    <a:off x="0" y="0"/>
                    <a:ext cx="1360843" cy="429247"/>
                  </a:xfrm>
                  <a:prstGeom prst="rect">
                    <a:avLst/>
                  </a:prstGeom>
                </pic:spPr>
              </pic:pic>
            </a:graphicData>
          </a:graphic>
        </wp:anchor>
      </w:drawing>
    </w:r>
    <w:r>
      <w:rPr/>
      <w:pict>
        <v:shape style="position:absolute;margin-left:700.319458pt;margin-top:40.675919pt;width:236.65pt;height:29.35pt;mso-position-horizontal-relative:page;mso-position-vertical-relative:page;z-index:-17151488" type="#_x0000_t202" id="docshape4" filled="false" stroked="false">
          <v:textbox inset="0,0,0,0">
            <w:txbxContent>
              <w:p>
                <w:pPr>
                  <w:spacing w:before="14"/>
                  <w:ind w:left="20" w:right="18" w:firstLine="417"/>
                  <w:jc w:val="right"/>
                  <w:rPr>
                    <w:sz w:val="16"/>
                  </w:rPr>
                </w:pPr>
                <w:r>
                  <w:rPr>
                    <w:color w:val="043152"/>
                    <w:sz w:val="16"/>
                  </w:rPr>
                  <w:t>Federal</w:t>
                </w:r>
                <w:r>
                  <w:rPr>
                    <w:color w:val="043152"/>
                    <w:spacing w:val="-2"/>
                    <w:sz w:val="16"/>
                  </w:rPr>
                  <w:t> </w:t>
                </w:r>
                <w:r>
                  <w:rPr>
                    <w:color w:val="043152"/>
                    <w:sz w:val="16"/>
                  </w:rPr>
                  <w:t>Financial</w:t>
                </w:r>
                <w:r>
                  <w:rPr>
                    <w:color w:val="043152"/>
                    <w:spacing w:val="-3"/>
                    <w:sz w:val="16"/>
                  </w:rPr>
                  <w:t> </w:t>
                </w:r>
                <w:r>
                  <w:rPr>
                    <w:color w:val="043152"/>
                    <w:sz w:val="16"/>
                  </w:rPr>
                  <w:t>Management</w:t>
                </w:r>
                <w:r>
                  <w:rPr>
                    <w:color w:val="043152"/>
                    <w:spacing w:val="-4"/>
                    <w:sz w:val="16"/>
                  </w:rPr>
                  <w:t> </w:t>
                </w:r>
                <w:r>
                  <w:rPr>
                    <w:color w:val="043152"/>
                    <w:sz w:val="16"/>
                  </w:rPr>
                  <w:t>(FFM)</w:t>
                </w:r>
                <w:r>
                  <w:rPr>
                    <w:color w:val="043152"/>
                    <w:spacing w:val="-4"/>
                    <w:sz w:val="16"/>
                  </w:rPr>
                  <w:t> </w:t>
                </w:r>
                <w:r>
                  <w:rPr>
                    <w:color w:val="043152"/>
                    <w:sz w:val="16"/>
                  </w:rPr>
                  <w:t>Business</w:t>
                </w:r>
                <w:r>
                  <w:rPr>
                    <w:color w:val="043152"/>
                    <w:spacing w:val="-3"/>
                    <w:sz w:val="16"/>
                  </w:rPr>
                  <w:t> </w:t>
                </w:r>
                <w:r>
                  <w:rPr>
                    <w:color w:val="043152"/>
                    <w:sz w:val="16"/>
                  </w:rPr>
                  <w:t>Capabilities </w:t>
                </w:r>
                <w:r>
                  <w:rPr>
                    <w:color w:val="043152"/>
                    <w:spacing w:val="-2"/>
                    <w:sz w:val="16"/>
                  </w:rPr>
                  <w:t>(Federal</w:t>
                </w:r>
                <w:r>
                  <w:rPr>
                    <w:color w:val="043152"/>
                    <w:spacing w:val="5"/>
                    <w:sz w:val="16"/>
                  </w:rPr>
                  <w:t> </w:t>
                </w:r>
                <w:r>
                  <w:rPr>
                    <w:color w:val="043152"/>
                    <w:spacing w:val="-2"/>
                    <w:sz w:val="16"/>
                  </w:rPr>
                  <w:t>Financial</w:t>
                </w:r>
                <w:r>
                  <w:rPr>
                    <w:color w:val="043152"/>
                    <w:spacing w:val="5"/>
                    <w:sz w:val="16"/>
                  </w:rPr>
                  <w:t> </w:t>
                </w:r>
                <w:r>
                  <w:rPr>
                    <w:color w:val="043152"/>
                    <w:spacing w:val="-2"/>
                    <w:sz w:val="16"/>
                  </w:rPr>
                  <w:t>Management</w:t>
                </w:r>
                <w:r>
                  <w:rPr>
                    <w:color w:val="043152"/>
                    <w:spacing w:val="7"/>
                    <w:sz w:val="16"/>
                  </w:rPr>
                  <w:t> </w:t>
                </w:r>
                <w:r>
                  <w:rPr>
                    <w:color w:val="043152"/>
                    <w:spacing w:val="-2"/>
                    <w:sz w:val="16"/>
                  </w:rPr>
                  <w:t>System</w:t>
                </w:r>
                <w:r>
                  <w:rPr>
                    <w:color w:val="043152"/>
                    <w:spacing w:val="5"/>
                    <w:sz w:val="16"/>
                  </w:rPr>
                  <w:t> </w:t>
                </w:r>
                <w:r>
                  <w:rPr>
                    <w:color w:val="043152"/>
                    <w:spacing w:val="-2"/>
                    <w:sz w:val="16"/>
                  </w:rPr>
                  <w:t>Requirements</w:t>
                </w:r>
                <w:r>
                  <w:rPr>
                    <w:color w:val="043152"/>
                    <w:spacing w:val="6"/>
                    <w:sz w:val="16"/>
                  </w:rPr>
                  <w:t> </w:t>
                </w:r>
                <w:r>
                  <w:rPr>
                    <w:color w:val="043152"/>
                    <w:spacing w:val="-2"/>
                    <w:sz w:val="16"/>
                  </w:rPr>
                  <w:t>[FFMSRs])</w:t>
                </w:r>
              </w:p>
              <w:p>
                <w:pPr>
                  <w:spacing w:before="0"/>
                  <w:ind w:left="0" w:right="18" w:firstLine="0"/>
                  <w:jc w:val="right"/>
                  <w:rPr>
                    <w:sz w:val="16"/>
                  </w:rPr>
                </w:pPr>
                <w:r>
                  <w:rPr>
                    <w:color w:val="043152"/>
                    <w:sz w:val="16"/>
                  </w:rPr>
                  <w:t>Version</w:t>
                </w:r>
                <w:r>
                  <w:rPr>
                    <w:color w:val="043152"/>
                    <w:spacing w:val="-10"/>
                    <w:sz w:val="16"/>
                  </w:rPr>
                  <w:t> </w:t>
                </w:r>
                <w:r>
                  <w:rPr>
                    <w:color w:val="043152"/>
                    <w:spacing w:val="-5"/>
                    <w:sz w:val="16"/>
                  </w:rPr>
                  <w:t>1.1</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8">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67">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66">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65">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64">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63">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62">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61">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60">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59">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58">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57">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56">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55">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54">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53">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52">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51">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50">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49">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48">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47">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46">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45">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44">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43">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42">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41">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40">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39">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38">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37">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36">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35">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34">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33">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32">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31">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30">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29">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28">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27">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26">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25">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24">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23">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22">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21">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20">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19">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18">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17">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16">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15">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14">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13">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12">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11">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10">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9">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8">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7">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6">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5">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4">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3">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2">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1">
    <w:multiLevelType w:val="hybridMultilevel"/>
    <w:lvl w:ilvl="0">
      <w:start w:val="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start w:val="0"/>
      <w:numFmt w:val="bullet"/>
      <w:lvlText w:val="•"/>
      <w:lvlJc w:val="left"/>
      <w:pPr>
        <w:ind w:left="949" w:hanging="216"/>
      </w:pPr>
      <w:rPr>
        <w:rFonts w:hint="default"/>
        <w:lang w:val="en-US" w:eastAsia="en-US" w:bidi="ar-SA"/>
      </w:rPr>
    </w:lvl>
    <w:lvl w:ilvl="2">
      <w:start w:val="0"/>
      <w:numFmt w:val="bullet"/>
      <w:lvlText w:val="•"/>
      <w:lvlJc w:val="left"/>
      <w:pPr>
        <w:ind w:left="1579" w:hanging="216"/>
      </w:pPr>
      <w:rPr>
        <w:rFonts w:hint="default"/>
        <w:lang w:val="en-US" w:eastAsia="en-US" w:bidi="ar-SA"/>
      </w:rPr>
    </w:lvl>
    <w:lvl w:ilvl="3">
      <w:start w:val="0"/>
      <w:numFmt w:val="bullet"/>
      <w:lvlText w:val="•"/>
      <w:lvlJc w:val="left"/>
      <w:pPr>
        <w:ind w:left="2209" w:hanging="216"/>
      </w:pPr>
      <w:rPr>
        <w:rFonts w:hint="default"/>
        <w:lang w:val="en-US" w:eastAsia="en-US" w:bidi="ar-SA"/>
      </w:rPr>
    </w:lvl>
    <w:lvl w:ilvl="4">
      <w:start w:val="0"/>
      <w:numFmt w:val="bullet"/>
      <w:lvlText w:val="•"/>
      <w:lvlJc w:val="left"/>
      <w:pPr>
        <w:ind w:left="2839" w:hanging="216"/>
      </w:pPr>
      <w:rPr>
        <w:rFonts w:hint="default"/>
        <w:lang w:val="en-US" w:eastAsia="en-US" w:bidi="ar-SA"/>
      </w:rPr>
    </w:lvl>
    <w:lvl w:ilvl="5">
      <w:start w:val="0"/>
      <w:numFmt w:val="bullet"/>
      <w:lvlText w:val="•"/>
      <w:lvlJc w:val="left"/>
      <w:pPr>
        <w:ind w:left="3469" w:hanging="216"/>
      </w:pPr>
      <w:rPr>
        <w:rFonts w:hint="default"/>
        <w:lang w:val="en-US" w:eastAsia="en-US" w:bidi="ar-SA"/>
      </w:rPr>
    </w:lvl>
    <w:lvl w:ilvl="6">
      <w:start w:val="0"/>
      <w:numFmt w:val="bullet"/>
      <w:lvlText w:val="•"/>
      <w:lvlJc w:val="left"/>
      <w:pPr>
        <w:ind w:left="4098" w:hanging="216"/>
      </w:pPr>
      <w:rPr>
        <w:rFonts w:hint="default"/>
        <w:lang w:val="en-US" w:eastAsia="en-US" w:bidi="ar-SA"/>
      </w:rPr>
    </w:lvl>
    <w:lvl w:ilvl="7">
      <w:start w:val="0"/>
      <w:numFmt w:val="bullet"/>
      <w:lvlText w:val="•"/>
      <w:lvlJc w:val="left"/>
      <w:pPr>
        <w:ind w:left="4728" w:hanging="216"/>
      </w:pPr>
      <w:rPr>
        <w:rFonts w:hint="default"/>
        <w:lang w:val="en-US" w:eastAsia="en-US" w:bidi="ar-SA"/>
      </w:rPr>
    </w:lvl>
    <w:lvl w:ilvl="8">
      <w:start w:val="0"/>
      <w:numFmt w:val="bullet"/>
      <w:lvlText w:val="•"/>
      <w:lvlJc w:val="left"/>
      <w:pPr>
        <w:ind w:left="5358" w:hanging="216"/>
      </w:pPr>
      <w:rPr>
        <w:rFonts w:hint="default"/>
        <w:lang w:val="en-US" w:eastAsia="en-US" w:bidi="ar-SA"/>
      </w:rPr>
    </w:lvl>
  </w:abstractNum>
  <w:abstractNum w:abstractNumId="0">
    <w:multiLevelType w:val="hybridMultilevel"/>
    <w:lvl w:ilvl="0">
      <w:start w:val="0"/>
      <w:numFmt w:val="bullet"/>
      <w:lvlText w:val=""/>
      <w:lvlJc w:val="left"/>
      <w:pPr>
        <w:ind w:left="840" w:hanging="360"/>
      </w:pPr>
      <w:rPr>
        <w:rFonts w:hint="default" w:ascii="Symbol" w:hAnsi="Symbol" w:eastAsia="Symbol" w:cs="Symbol"/>
        <w:b w:val="0"/>
        <w:bCs w:val="0"/>
        <w:i w:val="0"/>
        <w:iCs w:val="0"/>
        <w:w w:val="100"/>
        <w:sz w:val="24"/>
        <w:szCs w:val="24"/>
        <w:lang w:val="en-US" w:eastAsia="en-US" w:bidi="ar-SA"/>
      </w:rPr>
    </w:lvl>
    <w:lvl w:ilvl="1">
      <w:start w:val="0"/>
      <w:numFmt w:val="bullet"/>
      <w:lvlText w:val="o"/>
      <w:lvlJc w:val="left"/>
      <w:pPr>
        <w:ind w:left="1920" w:hanging="360"/>
      </w:pPr>
      <w:rPr>
        <w:rFonts w:hint="default" w:ascii="Courier New" w:hAnsi="Courier New" w:eastAsia="Courier New" w:cs="Courier New"/>
        <w:b w:val="0"/>
        <w:bCs w:val="0"/>
        <w:i w:val="0"/>
        <w:iCs w:val="0"/>
        <w:w w:val="100"/>
        <w:sz w:val="24"/>
        <w:szCs w:val="24"/>
        <w:lang w:val="en-US" w:eastAsia="en-US" w:bidi="ar-SA"/>
      </w:rPr>
    </w:lvl>
    <w:lvl w:ilvl="2">
      <w:start w:val="0"/>
      <w:numFmt w:val="bullet"/>
      <w:lvlText w:val="•"/>
      <w:lvlJc w:val="left"/>
      <w:pPr>
        <w:ind w:left="3673" w:hanging="360"/>
      </w:pPr>
      <w:rPr>
        <w:rFonts w:hint="default"/>
        <w:lang w:val="en-US" w:eastAsia="en-US" w:bidi="ar-SA"/>
      </w:rPr>
    </w:lvl>
    <w:lvl w:ilvl="3">
      <w:start w:val="0"/>
      <w:numFmt w:val="bullet"/>
      <w:lvlText w:val="•"/>
      <w:lvlJc w:val="left"/>
      <w:pPr>
        <w:ind w:left="5426" w:hanging="360"/>
      </w:pPr>
      <w:rPr>
        <w:rFonts w:hint="default"/>
        <w:lang w:val="en-US" w:eastAsia="en-US" w:bidi="ar-SA"/>
      </w:rPr>
    </w:lvl>
    <w:lvl w:ilvl="4">
      <w:start w:val="0"/>
      <w:numFmt w:val="bullet"/>
      <w:lvlText w:val="•"/>
      <w:lvlJc w:val="left"/>
      <w:pPr>
        <w:ind w:left="7180" w:hanging="360"/>
      </w:pPr>
      <w:rPr>
        <w:rFonts w:hint="default"/>
        <w:lang w:val="en-US" w:eastAsia="en-US" w:bidi="ar-SA"/>
      </w:rPr>
    </w:lvl>
    <w:lvl w:ilvl="5">
      <w:start w:val="0"/>
      <w:numFmt w:val="bullet"/>
      <w:lvlText w:val="•"/>
      <w:lvlJc w:val="left"/>
      <w:pPr>
        <w:ind w:left="8933" w:hanging="360"/>
      </w:pPr>
      <w:rPr>
        <w:rFonts w:hint="default"/>
        <w:lang w:val="en-US" w:eastAsia="en-US" w:bidi="ar-SA"/>
      </w:rPr>
    </w:lvl>
    <w:lvl w:ilvl="6">
      <w:start w:val="0"/>
      <w:numFmt w:val="bullet"/>
      <w:lvlText w:val="•"/>
      <w:lvlJc w:val="left"/>
      <w:pPr>
        <w:ind w:left="10686" w:hanging="360"/>
      </w:pPr>
      <w:rPr>
        <w:rFonts w:hint="default"/>
        <w:lang w:val="en-US" w:eastAsia="en-US" w:bidi="ar-SA"/>
      </w:rPr>
    </w:lvl>
    <w:lvl w:ilvl="7">
      <w:start w:val="0"/>
      <w:numFmt w:val="bullet"/>
      <w:lvlText w:val="•"/>
      <w:lvlJc w:val="left"/>
      <w:pPr>
        <w:ind w:left="12440" w:hanging="360"/>
      </w:pPr>
      <w:rPr>
        <w:rFonts w:hint="default"/>
        <w:lang w:val="en-US" w:eastAsia="en-US" w:bidi="ar-SA"/>
      </w:rPr>
    </w:lvl>
    <w:lvl w:ilvl="8">
      <w:start w:val="0"/>
      <w:numFmt w:val="bullet"/>
      <w:lvlText w:val="•"/>
      <w:lvlJc w:val="left"/>
      <w:pPr>
        <w:ind w:left="14193" w:hanging="360"/>
      </w:pPr>
      <w:rPr>
        <w:rFonts w:hint="default"/>
        <w:lang w:val="en-US" w:eastAsia="en-US" w:bidi="ar-SA"/>
      </w:rPr>
    </w:lvl>
  </w:abstract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TOC1" w:type="paragraph">
    <w:name w:val="TOC 1"/>
    <w:basedOn w:val="Normal"/>
    <w:uiPriority w:val="1"/>
    <w:qFormat/>
    <w:pPr>
      <w:spacing w:before="120"/>
      <w:ind w:left="119"/>
    </w:pPr>
    <w:rPr>
      <w:rFonts w:ascii="Arial" w:hAnsi="Arial" w:eastAsia="Arial" w:cs="Arial"/>
      <w:sz w:val="22"/>
      <w:szCs w:val="22"/>
      <w:lang w:val="en-US" w:eastAsia="en-US" w:bidi="ar-SA"/>
    </w:rPr>
  </w:style>
  <w:style w:styleId="BodyText" w:type="paragraph">
    <w:name w:val="Body Text"/>
    <w:basedOn w:val="Normal"/>
    <w:uiPriority w:val="1"/>
    <w:qFormat/>
    <w:pPr/>
    <w:rPr>
      <w:rFonts w:ascii="Arial" w:hAnsi="Arial" w:eastAsia="Arial" w:cs="Arial"/>
      <w:sz w:val="24"/>
      <w:szCs w:val="24"/>
      <w:lang w:val="en-US" w:eastAsia="en-US" w:bidi="ar-SA"/>
    </w:rPr>
  </w:style>
  <w:style w:styleId="Heading1" w:type="paragraph">
    <w:name w:val="Heading 1"/>
    <w:basedOn w:val="Normal"/>
    <w:uiPriority w:val="1"/>
    <w:qFormat/>
    <w:pPr>
      <w:ind w:left="120"/>
      <w:outlineLvl w:val="1"/>
    </w:pPr>
    <w:rPr>
      <w:rFonts w:ascii="Arial" w:hAnsi="Arial" w:eastAsia="Arial" w:cs="Arial"/>
      <w:sz w:val="36"/>
      <w:szCs w:val="36"/>
      <w:lang w:val="en-US" w:eastAsia="en-US" w:bidi="ar-SA"/>
    </w:rPr>
  </w:style>
  <w:style w:styleId="Heading2" w:type="paragraph">
    <w:name w:val="Heading 2"/>
    <w:basedOn w:val="Normal"/>
    <w:uiPriority w:val="1"/>
    <w:qFormat/>
    <w:pPr>
      <w:spacing w:before="1"/>
      <w:ind w:left="119"/>
      <w:outlineLvl w:val="2"/>
    </w:pPr>
    <w:rPr>
      <w:rFonts w:ascii="Arial" w:hAnsi="Arial" w:eastAsia="Arial" w:cs="Arial"/>
      <w:sz w:val="30"/>
      <w:szCs w:val="30"/>
      <w:lang w:val="en-US" w:eastAsia="en-US" w:bidi="ar-SA"/>
    </w:rPr>
  </w:style>
  <w:style w:styleId="Heading3" w:type="paragraph">
    <w:name w:val="Heading 3"/>
    <w:basedOn w:val="Normal"/>
    <w:uiPriority w:val="1"/>
    <w:qFormat/>
    <w:pPr>
      <w:spacing w:before="240"/>
      <w:ind w:left="144" w:right="321"/>
      <w:jc w:val="center"/>
      <w:outlineLvl w:val="3"/>
    </w:pPr>
    <w:rPr>
      <w:rFonts w:ascii="Arial" w:hAnsi="Arial" w:eastAsia="Arial" w:cs="Arial"/>
      <w:sz w:val="28"/>
      <w:szCs w:val="28"/>
      <w:lang w:val="en-US" w:eastAsia="en-US" w:bidi="ar-SA"/>
    </w:rPr>
  </w:style>
  <w:style w:styleId="Title" w:type="paragraph">
    <w:name w:val="Title"/>
    <w:basedOn w:val="Normal"/>
    <w:uiPriority w:val="1"/>
    <w:qFormat/>
    <w:pPr>
      <w:spacing w:before="82"/>
      <w:ind w:left="120"/>
    </w:pPr>
    <w:rPr>
      <w:rFonts w:ascii="Arial" w:hAnsi="Arial" w:eastAsia="Arial" w:cs="Arial"/>
      <w:sz w:val="56"/>
      <w:szCs w:val="56"/>
      <w:lang w:val="en-US" w:eastAsia="en-US" w:bidi="ar-SA"/>
    </w:rPr>
  </w:style>
  <w:style w:styleId="ListParagraph" w:type="paragraph">
    <w:name w:val="List Paragraph"/>
    <w:basedOn w:val="Normal"/>
    <w:uiPriority w:val="1"/>
    <w:qFormat/>
    <w:pPr>
      <w:spacing w:before="26"/>
      <w:ind w:left="840" w:hanging="360"/>
    </w:pPr>
    <w:rPr>
      <w:rFonts w:ascii="Arial" w:hAnsi="Arial" w:eastAsia="Arial" w:cs="Arial"/>
      <w:lang w:val="en-US" w:eastAsia="en-US" w:bidi="ar-SA"/>
    </w:rPr>
  </w:style>
  <w:style w:styleId="TableParagraph" w:type="paragraph">
    <w:name w:val="Table Paragraph"/>
    <w:basedOn w:val="Normal"/>
    <w:uiPriority w:val="1"/>
    <w:qFormat/>
    <w:pPr>
      <w:ind w:left="32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s://www.fiscal.treasury.gov/fmsc/financial-management-standards.html" TargetMode="External"/><Relationship Id="rId7" Type="http://schemas.openxmlformats.org/officeDocument/2006/relationships/hyperlink" Target="https://ussm.gsa.gov/fibf-fm/"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image" Target="media/image3.png"/><Relationship Id="rId13" Type="http://schemas.openxmlformats.org/officeDocument/2006/relationships/image" Target="media/image4.jpeg"/><Relationship Id="rId14" Type="http://schemas.openxmlformats.org/officeDocument/2006/relationships/hyperlink" Target="https://tfm.fiscal.treasury.gov/v1/supplements/ussgl.html" TargetMode="External"/><Relationship Id="rId15" Type="http://schemas.openxmlformats.org/officeDocument/2006/relationships/hyperlink" Target="https://tfm.fiscal.treasury.gov/v1/p6/c210.pdf" TargetMode="External"/><Relationship Id="rId16" Type="http://schemas.openxmlformats.org/officeDocument/2006/relationships/hyperlink" Target="http://files.fasab.gov/pdffiles/handbook_sffas_1.pdf" TargetMode="External"/><Relationship Id="rId17" Type="http://schemas.openxmlformats.org/officeDocument/2006/relationships/hyperlink" Target="http://files.fasab.gov/pdffiles/handbook_sffas_2.pdf" TargetMode="External"/><Relationship Id="rId18" Type="http://schemas.openxmlformats.org/officeDocument/2006/relationships/hyperlink" Target="http://files.fasab.gov/pdffiles/handbook_sffas_3.pdf" TargetMode="External"/><Relationship Id="rId19" Type="http://schemas.openxmlformats.org/officeDocument/2006/relationships/hyperlink" Target="http://files.fasab.gov/pdffiles/handbook_sffas_6.pdf" TargetMode="External"/><Relationship Id="rId20" Type="http://schemas.openxmlformats.org/officeDocument/2006/relationships/hyperlink" Target="http://files.fasab.gov/pdffiles/handbook_sffas_7.pdf" TargetMode="External"/><Relationship Id="rId21" Type="http://schemas.openxmlformats.org/officeDocument/2006/relationships/hyperlink" Target="http://files.fasab.gov/pdffiles/handbook_sffas_10.pdf" TargetMode="External"/><Relationship Id="rId22" Type="http://schemas.openxmlformats.org/officeDocument/2006/relationships/hyperlink" Target="http://files.fasab.gov/pdffiles/handbook_sffas_18.pdf" TargetMode="External"/><Relationship Id="rId23" Type="http://schemas.openxmlformats.org/officeDocument/2006/relationships/hyperlink" Target="http://files.fasab.gov/pdffiles/handbook_sffas_19.pdf" TargetMode="External"/><Relationship Id="rId24" Type="http://schemas.openxmlformats.org/officeDocument/2006/relationships/hyperlink" Target="http://files.fasab.gov/pdffiles/handbook_sffas_23.pdf" TargetMode="External"/><Relationship Id="rId25" Type="http://schemas.openxmlformats.org/officeDocument/2006/relationships/hyperlink" Target="http://files.fasab.gov/pdffiles/handbook_sffas_29.pdf" TargetMode="External"/><Relationship Id="rId26" Type="http://schemas.openxmlformats.org/officeDocument/2006/relationships/hyperlink" Target="http://files.fasab.gov/pdffiles/handbook_sffas_38.pdf" TargetMode="External"/><Relationship Id="rId27" Type="http://schemas.openxmlformats.org/officeDocument/2006/relationships/hyperlink" Target="http://files.fasab.gov/pdffiles/handbook_sffas_40.pdf" TargetMode="External"/><Relationship Id="rId28" Type="http://schemas.openxmlformats.org/officeDocument/2006/relationships/hyperlink" Target="http://files.fasab.gov/pdffiles/handbook_sffas_42.pdf" TargetMode="External"/><Relationship Id="rId29" Type="http://schemas.openxmlformats.org/officeDocument/2006/relationships/hyperlink" Target="http://files.fasab.gov/pdffiles/handbook_sffas_53.pdf" TargetMode="External"/><Relationship Id="rId30" Type="http://schemas.openxmlformats.org/officeDocument/2006/relationships/hyperlink" Target="https://files.fasab.gov/pdffiles/handbook_sffas_57.pdf" TargetMode="External"/><Relationship Id="rId31" Type="http://schemas.openxmlformats.org/officeDocument/2006/relationships/hyperlink" Target="https://files.fasab.gov/pdffiles/handbook_sffas_54.pdf" TargetMode="External"/><Relationship Id="rId32" Type="http://schemas.openxmlformats.org/officeDocument/2006/relationships/hyperlink" Target="http://files.fasab.gov/pdffiles/sffas-5.pdf" TargetMode="External"/><Relationship Id="rId33" Type="http://schemas.openxmlformats.org/officeDocument/2006/relationships/hyperlink" Target="http://files.fasab.gov/pdffiles/handbook_sffas_5.pdf" TargetMode="External"/><Relationship Id="rId34" Type="http://schemas.openxmlformats.org/officeDocument/2006/relationships/hyperlink" Target="http://files.fasab.gov/pdffiles/handbook_sffas_12.pdf" TargetMode="External"/><Relationship Id="rId35" Type="http://schemas.openxmlformats.org/officeDocument/2006/relationships/hyperlink" Target="http://files.fasab.gov/pdffiles/handbook_sffas_17.pdf" TargetMode="External"/><Relationship Id="rId36" Type="http://schemas.openxmlformats.org/officeDocument/2006/relationships/hyperlink" Target="http://files.fasab.gov/pdffiles/handbook_sffas_33.pdf" TargetMode="External"/><Relationship Id="rId37" Type="http://schemas.openxmlformats.org/officeDocument/2006/relationships/hyperlink" Target="http://files.fasab.gov/pdffiles/handbook_sffas_27.pdf" TargetMode="External"/><Relationship Id="rId38" Type="http://schemas.openxmlformats.org/officeDocument/2006/relationships/hyperlink" Target="http://files.fasab.gov/pdffiles/handbook_sffas_31.pdf" TargetMode="External"/><Relationship Id="rId39" Type="http://schemas.openxmlformats.org/officeDocument/2006/relationships/hyperlink" Target="http://files.fasab.gov/pdffiles/handbook_sffas_43.pdf" TargetMode="External"/><Relationship Id="rId40" Type="http://schemas.openxmlformats.org/officeDocument/2006/relationships/hyperlink" Target="https://tfm.fiscal.treasury.gov/v1/p2/c470.html" TargetMode="External"/><Relationship Id="rId41" Type="http://schemas.openxmlformats.org/officeDocument/2006/relationships/hyperlink" Target="https://www.whitehouse.gov/omb/information-for-agencies/circulars/" TargetMode="External"/><Relationship Id="rId42" Type="http://schemas.openxmlformats.org/officeDocument/2006/relationships/hyperlink" Target="http://files.fasab.gov/pdffiles/handbook_sffas_4.pdf" TargetMode="External"/><Relationship Id="rId43" Type="http://schemas.openxmlformats.org/officeDocument/2006/relationships/hyperlink" Target="http://files.fasab.gov/pdffiles/handbook_sffas_55.pdf" TargetMode="External"/><Relationship Id="rId44" Type="http://schemas.openxmlformats.org/officeDocument/2006/relationships/hyperlink" Target="https://tfm.fiscal.treasury.gov/v1/p2/c470.pdf" TargetMode="External"/><Relationship Id="rId45" Type="http://schemas.openxmlformats.org/officeDocument/2006/relationships/hyperlink" Target="http://files.fasab.gov/pdffiles/handbook_sffac_4.pdf" TargetMode="External"/><Relationship Id="rId46" Type="http://schemas.openxmlformats.org/officeDocument/2006/relationships/hyperlink" Target="http://files.fasab.gov/pdffiles/handbook_sffas_24.pdf" TargetMode="External"/><Relationship Id="rId47" Type="http://schemas.openxmlformats.org/officeDocument/2006/relationships/hyperlink" Target="http://files.fasab.gov/pdffiles/handbook_sffas_56.pdf" TargetMode="External"/><Relationship Id="rId48" Type="http://schemas.openxmlformats.org/officeDocument/2006/relationships/hyperlink" Target="http://files.fasab.gov/pdffiles/handbook_sffac_2.pdf" TargetMode="External"/><Relationship Id="rId49" Type="http://schemas.openxmlformats.org/officeDocument/2006/relationships/hyperlink" Target="https://www.gpo.gov/fdsys/granule/CFR-2011-title36-vol3/CFR-2011-title36-vol3-part1194/content-detail.html" TargetMode="External"/><Relationship Id="rId50" Type="http://schemas.openxmlformats.org/officeDocument/2006/relationships/hyperlink" Target="http://files.fasab.gov/pdffiles/handbook_sffas_15.pdf" TargetMode="External"/><Relationship Id="rId51" Type="http://schemas.openxmlformats.org/officeDocument/2006/relationships/hyperlink" Target="https://tfm.fiscal.treasury.gov/v1/p2/c420.pdf" TargetMode="External"/><Relationship Id="rId52" Type="http://schemas.openxmlformats.org/officeDocument/2006/relationships/hyperlink" Target="https://tfm.fiscal.treasury.gov/v1/p4/ac200.pdf" TargetMode="External"/><Relationship Id="rId53" Type="http://schemas.openxmlformats.org/officeDocument/2006/relationships/hyperlink" Target="https://www.govinfo.gov/app/details/CFR-2011-title48-vol1/CFR-2011-title48-vol1-part32" TargetMode="External"/><Relationship Id="rId54" Type="http://schemas.openxmlformats.org/officeDocument/2006/relationships/hyperlink" Target="https://tfm.fiscal.treasury.gov/v1/p4/ac300.pdf" TargetMode="External"/><Relationship Id="rId55" Type="http://schemas.openxmlformats.org/officeDocument/2006/relationships/hyperlink" Target="https://www.gpo.gov/fdsys/granule/USCODE-2008-title31/USCODE-2008-title31-subtitleIII-chap39" TargetMode="External"/><Relationship Id="rId56" Type="http://schemas.openxmlformats.org/officeDocument/2006/relationships/hyperlink" Target="https://www.gpo.gov/fdsys/granule/CFR-2002-title5-vol3/CFR-2002-title5-vol3-part1315" TargetMode="External"/><Relationship Id="rId57" Type="http://schemas.openxmlformats.org/officeDocument/2006/relationships/hyperlink" Target="https://tfm.fiscal.treasury.gov/v1/p4/c450.pdf" TargetMode="External"/><Relationship Id="rId58" Type="http://schemas.openxmlformats.org/officeDocument/2006/relationships/hyperlink" Target="https://www.whitehouse.gov/wp-content/uploads/2019/08/Issuance-of-Revised-Appendix-B-to-OMB-Circular-A-123.pdf" TargetMode="External"/><Relationship Id="rId59" Type="http://schemas.openxmlformats.org/officeDocument/2006/relationships/hyperlink" Target="https://tfm.fiscal.treasury.gov/v1/p6/c850.pdf" TargetMode="External"/><Relationship Id="rId60" Type="http://schemas.openxmlformats.org/officeDocument/2006/relationships/hyperlink" Target="https://www.gao.gov/products/149099" TargetMode="External"/><Relationship Id="rId61" Type="http://schemas.openxmlformats.org/officeDocument/2006/relationships/hyperlink" Target="https://tfm.fiscal.treasury.gov/v1/p2/c510.pdf" TargetMode="External"/><Relationship Id="rId62" Type="http://schemas.openxmlformats.org/officeDocument/2006/relationships/hyperlink" Target="https://tfm.fiscal.treasury.gov/v1/p4/ac400.pdf" TargetMode="External"/><Relationship Id="rId63" Type="http://schemas.openxmlformats.org/officeDocument/2006/relationships/hyperlink" Target="https://tfm.fiscal.treasury.gov/v1/p2/c330.pdf" TargetMode="External"/><Relationship Id="rId64" Type="http://schemas.openxmlformats.org/officeDocument/2006/relationships/hyperlink" Target="https://tfm.fiscal.treasury.gov/v1/p3/c700.pdf" TargetMode="External"/><Relationship Id="rId65" Type="http://schemas.openxmlformats.org/officeDocument/2006/relationships/hyperlink" Target="https://fiscal.treasury.gov/dms/resources/debt-management-governmentwide-reports.html" TargetMode="External"/><Relationship Id="rId66" Type="http://schemas.openxmlformats.org/officeDocument/2006/relationships/hyperlink" Target="https://www.gpo.gov/fdsys/granule/CFR-1998-title4-vol1/CFR-1998-title4-vol1-part102/content-detail.html" TargetMode="External"/><Relationship Id="rId67" Type="http://schemas.openxmlformats.org/officeDocument/2006/relationships/hyperlink" Target="https://tfm.fiscal.treasury.gov/v1.html#Part5" TargetMode="External"/><Relationship Id="rId68" Type="http://schemas.openxmlformats.org/officeDocument/2006/relationships/hyperlink" Target="https://tfm.fiscal.treasury.gov/v1/p5/c200.pdf" TargetMode="External"/><Relationship Id="rId69" Type="http://schemas.openxmlformats.org/officeDocument/2006/relationships/hyperlink" Target="https://tfm.fiscal.treasury.gov/v1/p4/c400.pdf" TargetMode="External"/><Relationship Id="rId70" Type="http://schemas.openxmlformats.org/officeDocument/2006/relationships/hyperlink" Target="http://files.fasab.gov/pdffiles/handbook_sffas_26.pdf" TargetMode="External"/><Relationship Id="rId71" Type="http://schemas.openxmlformats.org/officeDocument/2006/relationships/hyperlink" Target="https://nvd.nist.gov/800-53" TargetMode="External"/><Relationship Id="rId72" Type="http://schemas.openxmlformats.org/officeDocument/2006/relationships/hyperlink" Target="https://www.nist.gov/publications/standards-security-categorization-federal-information-and-information-systems" TargetMode="External"/><Relationship Id="rId73" Type="http://schemas.openxmlformats.org/officeDocument/2006/relationships/hyperlink" Target="https://www.nist.gov/publications/minimum-security-requirements-federal-information-and-information-systems" TargetMode="External"/><Relationship Id="rId74" Type="http://schemas.openxmlformats.org/officeDocument/2006/relationships/hyperlink" Target="https://www.gpo.gov/fdsys/search/pagedetails.action?collectionCode=PLAW&amp;amp%3BbrowsePath=113%2FPUBLIC%2F%5b200%2B-%2B299%5d&amp;amp%3BgranuleId&amp;amp%3BpackageId=PLAW-113publ283" TargetMode="External"/><Relationship Id="rId75"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H Pope</dc:creator>
  <dc:description/>
  <dcterms:created xsi:type="dcterms:W3CDTF">2022-07-26T19:15:21Z</dcterms:created>
  <dcterms:modified xsi:type="dcterms:W3CDTF">2022-07-26T19:15:21Z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0x0101006E7BDC8160135F4E8FC4A8A1075BCE17</vt:lpwstr>
  </property>
  <property fmtid="{D5CDD505-2E9C-101B-9397-08002B2CF9AE}" pid="3" name="Created">
    <vt:filetime>2022-06-17T00:00:00Z</vt:filetime>
  </property>
  <property fmtid="{D5CDD505-2E9C-101B-9397-08002B2CF9AE}" pid="4" name="Creator">
    <vt:lpwstr>Acrobat PDFMaker 22 for Word</vt:lpwstr>
  </property>
  <property fmtid="{D5CDD505-2E9C-101B-9397-08002B2CF9AE}" pid="5" name="LastSaved">
    <vt:filetime>2022-07-26T00:00:00Z</vt:filetime>
  </property>
  <property fmtid="{D5CDD505-2E9C-101B-9397-08002B2CF9AE}" pid="6" name="MediaServiceImageTags">
    <vt:lpwstr/>
  </property>
  <property fmtid="{D5CDD505-2E9C-101B-9397-08002B2CF9AE}" pid="7" name="Producer">
    <vt:lpwstr>Adobe PDF Library 22.1.149</vt:lpwstr>
  </property>
  <property fmtid="{D5CDD505-2E9C-101B-9397-08002B2CF9AE}" pid="8" name="SourceModified">
    <vt:lpwstr/>
  </property>
</Properties>
</file>