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6A50" w14:textId="5002D6A5" w:rsidR="0012175D" w:rsidRDefault="00FF2D27" w:rsidP="00FF2D27">
      <w:pPr>
        <w:spacing w:after="0" w:line="240" w:lineRule="auto"/>
        <w:rPr>
          <w:rFonts w:ascii="inherit" w:eastAsia="Times New Roman" w:hAnsi="inherit" w:cs="Times New Roman"/>
          <w:sz w:val="18"/>
          <w:szCs w:val="18"/>
        </w:rPr>
      </w:pPr>
      <w:r w:rsidRPr="00FF2D27">
        <w:rPr>
          <w:rFonts w:ascii="inherit" w:eastAsia="Times New Roman" w:hAnsi="inherit" w:cs="Times New Roman"/>
          <w:sz w:val="18"/>
          <w:szCs w:val="18"/>
        </w:rPr>
        <w:t> </w:t>
      </w:r>
    </w:p>
    <w:p w14:paraId="4A101D7E" w14:textId="77777777" w:rsidR="0012175D" w:rsidRPr="00FF2D27" w:rsidRDefault="0012175D" w:rsidP="00FF2D27">
      <w:pPr>
        <w:spacing w:after="0" w:line="240" w:lineRule="auto"/>
        <w:rPr>
          <w:rFonts w:ascii="inherit" w:eastAsia="Times New Roman" w:hAnsi="inherit" w:cs="Times New Roman"/>
          <w:sz w:val="18"/>
          <w:szCs w:val="18"/>
        </w:rPr>
      </w:pPr>
    </w:p>
    <w:p w14:paraId="78920BAE" w14:textId="77777777" w:rsidR="00FF2D27" w:rsidRPr="00FF2D27" w:rsidRDefault="00FF2D27" w:rsidP="00FF2D27">
      <w:pPr>
        <w:spacing w:after="0" w:line="240" w:lineRule="auto"/>
        <w:rPr>
          <w:rFonts w:ascii="Times New Roman" w:eastAsia="Times New Roman" w:hAnsi="Times New Roman" w:cs="Times New Roman"/>
          <w:sz w:val="24"/>
          <w:szCs w:val="24"/>
        </w:rPr>
      </w:pPr>
      <w:r w:rsidRPr="00FF2D27">
        <w:rPr>
          <w:rFonts w:ascii="Open Sans" w:eastAsia="Times New Roman" w:hAnsi="Open Sans" w:cs="Open Sans"/>
          <w:color w:val="3A3A3A"/>
          <w:sz w:val="2"/>
          <w:szCs w:val="2"/>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4"/>
        <w:gridCol w:w="1598"/>
        <w:gridCol w:w="2959"/>
        <w:gridCol w:w="1860"/>
        <w:gridCol w:w="1744"/>
        <w:gridCol w:w="1689"/>
      </w:tblGrid>
      <w:tr w:rsidR="00FF2D27" w:rsidRPr="00FF2D27" w14:paraId="483AD388" w14:textId="77777777" w:rsidTr="00FF2D27">
        <w:trPr>
          <w:tblHeader/>
        </w:trPr>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15D7198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Database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77FB520A"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Owner</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7F874F74"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04FFFEDE"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Data Source Usage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6BE14983"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Federal Agency Usage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3CCE0FA4"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State Agency Usage</w:t>
            </w:r>
          </w:p>
        </w:tc>
      </w:tr>
      <w:tr w:rsidR="00FF2D27" w:rsidRPr="00FF2D27" w14:paraId="5BFD6C68"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3D1D0CA"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DEATH</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3439AB0" w14:textId="4EC631DA"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39252D1"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Verify if a payee is deceased</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F7FDF97" w14:textId="24736525"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7B15829" w14:textId="79FBF3F6"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398FC821" w14:textId="51CB150F"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73693A68"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434CA7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American InfoSource (AIS) Obituary &amp; Probate - Commercial</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8490F27"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AIS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5D71AA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obituary and probate information on deceased individuals obtained from over 3,000 funeral homes, thousands of newspapers, and county-level probate records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826E13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369C0089" w14:textId="02BDC79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27BF12A" wp14:editId="6151307B">
                  <wp:extent cx="447675" cy="447675"/>
                  <wp:effectExtent l="0" t="0" r="9525" b="9525"/>
                  <wp:docPr id="40" name="Picture 4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9CD48A9" w14:textId="7AF2FF7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77DFB936" wp14:editId="139FF7D2">
                  <wp:extent cx="447675" cy="447675"/>
                  <wp:effectExtent l="0" t="0" r="9525" b="9525"/>
                  <wp:docPr id="39" name="Picture 3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4F5DCE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6F29EC5" w14:textId="4E77E19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 xml:space="preserve">Death Master File </w:t>
            </w:r>
            <w:r w:rsidR="00394310">
              <w:rPr>
                <w:rFonts w:ascii="inherit" w:eastAsia="Times New Roman" w:hAnsi="inherit" w:cs="Times New Roman"/>
                <w:b/>
                <w:bCs/>
                <w:sz w:val="24"/>
                <w:szCs w:val="24"/>
              </w:rPr>
              <w:t xml:space="preserve">Full </w:t>
            </w:r>
            <w:r w:rsidRPr="00FF2D27">
              <w:rPr>
                <w:rFonts w:ascii="inherit" w:eastAsia="Times New Roman" w:hAnsi="inherit" w:cs="Times New Roman"/>
                <w:b/>
                <w:bCs/>
                <w:sz w:val="24"/>
                <w:szCs w:val="24"/>
              </w:rPr>
              <w:t>(DMF</w:t>
            </w:r>
            <w:r w:rsidR="00394310">
              <w:rPr>
                <w:rFonts w:ascii="inherit" w:eastAsia="Times New Roman" w:hAnsi="inherit" w:cs="Times New Roman"/>
                <w:b/>
                <w:bCs/>
                <w:sz w:val="24"/>
                <w:szCs w:val="24"/>
              </w:rPr>
              <w:t>-Full</w:t>
            </w:r>
            <w:r w:rsidR="007B6E37">
              <w:rPr>
                <w:rFonts w:ascii="inherit" w:eastAsia="Times New Roman" w:hAnsi="inherit" w:cs="Times New Roman"/>
                <w:b/>
                <w:bCs/>
                <w:sz w:val="24"/>
                <w:szCs w:val="24"/>
              </w:rPr>
              <w:t>)</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4C1B020"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SSA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58E9D2E" w14:textId="0460D0B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records </w:t>
            </w:r>
            <w:r w:rsidR="00394310">
              <w:rPr>
                <w:rFonts w:ascii="inherit" w:eastAsia="Times New Roman" w:hAnsi="inherit" w:cs="Times New Roman"/>
                <w:sz w:val="24"/>
                <w:szCs w:val="24"/>
              </w:rPr>
              <w:t xml:space="preserve">of deaths reported to the Social Security Administration (SSA). The deaths reported to </w:t>
            </w:r>
            <w:r w:rsidR="00394310">
              <w:rPr>
                <w:rFonts w:ascii="inherit" w:eastAsia="Times New Roman" w:hAnsi="inherit" w:cs="Times New Roman"/>
                <w:sz w:val="24"/>
                <w:szCs w:val="24"/>
              </w:rPr>
              <w:lastRenderedPageBreak/>
              <w:t>SSA come from many sources, including family members, funeral homes, financial institutions, postal authorities, state information, and other federal agencies</w:t>
            </w:r>
            <w:r w:rsidR="00394310">
              <w:rPr>
                <w:rFonts w:ascii="inherit" w:eastAsia="Times New Roman" w:hAnsi="inherit" w:cs="Times New Roman"/>
                <w:sz w:val="24"/>
                <w:szCs w:val="24"/>
              </w:rPr>
              <w:br/>
            </w:r>
            <w:r w:rsidRPr="00FF2D27">
              <w:rPr>
                <w:rFonts w:ascii="inherit" w:eastAsia="Times New Roman" w:hAnsi="inherit" w:cs="Times New Roman"/>
                <w:sz w:val="24"/>
                <w:szCs w:val="24"/>
              </w:rPr>
              <w:br/>
            </w:r>
            <w:r w:rsidRPr="009E762B">
              <w:rPr>
                <w:rFonts w:ascii="inherit" w:eastAsia="Times New Roman" w:hAnsi="inherit" w:cs="Times New Roman"/>
                <w:b/>
                <w:bCs/>
                <w:i/>
                <w:iCs/>
                <w:sz w:val="24"/>
                <w:szCs w:val="24"/>
              </w:rPr>
              <w:t xml:space="preserve">Does contain </w:t>
            </w:r>
            <w:r w:rsidR="00394310" w:rsidRPr="009E762B">
              <w:rPr>
                <w:rFonts w:ascii="inherit" w:eastAsia="Times New Roman" w:hAnsi="inherit" w:cs="Times New Roman"/>
                <w:b/>
                <w:bCs/>
                <w:i/>
                <w:iCs/>
                <w:sz w:val="24"/>
                <w:szCs w:val="24"/>
              </w:rPr>
              <w:t xml:space="preserve">vital </w:t>
            </w:r>
            <w:r w:rsidRPr="009E762B">
              <w:rPr>
                <w:rFonts w:ascii="inherit" w:eastAsia="Times New Roman" w:hAnsi="inherit" w:cs="Times New Roman"/>
                <w:b/>
                <w:bCs/>
                <w:i/>
                <w:iCs/>
                <w:sz w:val="24"/>
                <w:szCs w:val="24"/>
              </w:rPr>
              <w:t>death records from states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B30DA9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xml:space="preserve">Online Search, Batch Matching, Continuous </w:t>
            </w:r>
            <w:r w:rsidRPr="00FF2D27">
              <w:rPr>
                <w:rFonts w:ascii="inherit" w:eastAsia="Times New Roman" w:hAnsi="inherit" w:cs="Times New Roman"/>
                <w:sz w:val="24"/>
                <w:szCs w:val="24"/>
              </w:rPr>
              <w:lastRenderedPageBreak/>
              <w:t>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7C3E5D0B" w14:textId="61DCB2E8"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lastRenderedPageBreak/>
              <w:drawing>
                <wp:inline distT="0" distB="0" distL="0" distR="0" wp14:anchorId="5CD14E77" wp14:editId="5945B279">
                  <wp:extent cx="447675" cy="447675"/>
                  <wp:effectExtent l="0" t="0" r="9525" b="9525"/>
                  <wp:docPr id="38" name="Picture 3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7F8463CE" w14:textId="4CCE13F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4BC2330" wp14:editId="64A5EEFC">
                  <wp:extent cx="447675" cy="447675"/>
                  <wp:effectExtent l="0" t="0" r="9525" b="9525"/>
                  <wp:docPr id="37" name="Picture 3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02DEB74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729837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Department of Defense Death Data (DOD)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A5EA8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237657"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active-duty U.S. military and Reserves regarding confirmed or presumed deaths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17FC90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E4F5706" w14:textId="5E13871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09EE139" wp14:editId="63195660">
                  <wp:extent cx="447675" cy="447675"/>
                  <wp:effectExtent l="0" t="0" r="9525" b="9525"/>
                  <wp:docPr id="36" name="Picture 3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24CA6057" w14:textId="248ACB4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A331A0F" wp14:editId="46D64110">
                  <wp:extent cx="447675" cy="447675"/>
                  <wp:effectExtent l="0" t="0" r="9525" b="9525"/>
                  <wp:docPr id="35" name="Picture 3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427D3C7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52B130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Department of State Death Data (DOS)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086291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5E372F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records of American Citizens who are deceased or presumed deceased while abroad, as reported by U.S. embassies or consulates upon its receipt of a foreign death certificate or finding of death by a local competent authority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1BEEB4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4554322" w14:textId="00C75C4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57B5676" wp14:editId="484100C5">
                  <wp:extent cx="447675" cy="447675"/>
                  <wp:effectExtent l="0" t="0" r="9525" b="9525"/>
                  <wp:docPr id="34" name="Picture 3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65FD539B" w14:textId="4CA4349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7B0E2BB" wp14:editId="4D90F217">
                  <wp:extent cx="447675" cy="447675"/>
                  <wp:effectExtent l="0" t="0" r="9525" b="9525"/>
                  <wp:docPr id="33" name="Picture 3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390EA2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986B02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Electronic Verification of Vital Events Fact of Death (EVVE FOD) Commercial</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F207DB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NAPHSIS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C84B6FE" w14:textId="1133621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about death certificates contained within the vital records databases of participating states and jurisdictions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A6D075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3C05380" w14:textId="28CCFA2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7F6EF0E" wp14:editId="19A34CFB">
                  <wp:extent cx="447675" cy="447675"/>
                  <wp:effectExtent l="0" t="0" r="9525" b="9525"/>
                  <wp:docPr id="32" name="Picture 3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45031BD" w14:textId="529FFCA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73DE519" wp14:editId="7FAAB2F2">
                  <wp:extent cx="447675" cy="447675"/>
                  <wp:effectExtent l="0" t="0" r="9525" b="9525"/>
                  <wp:docPr id="31" name="Picture 3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645ABAB"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9732FAF"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DEBARMENT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62F926C9" w14:textId="7B47820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B51E18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 xml:space="preserve">Verify whether an individual </w:t>
            </w:r>
            <w:r w:rsidRPr="00FF2D27">
              <w:rPr>
                <w:rFonts w:ascii="inherit" w:eastAsia="Times New Roman" w:hAnsi="inherit" w:cs="Times New Roman"/>
                <w:b/>
                <w:bCs/>
                <w:i/>
                <w:iCs/>
                <w:color w:val="FFFFFF"/>
                <w:sz w:val="33"/>
                <w:szCs w:val="33"/>
              </w:rPr>
              <w:lastRenderedPageBreak/>
              <w:t>or entity is ineligible</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F46098D" w14:textId="0154D0D8"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CE95CB0" w14:textId="2DDC90DD"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3F958615" w14:textId="01AE3014"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47EFB859"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9D7A95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Automatic Revocation of Exemption List (ARL)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1896AB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FCFDA1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entities that have their tax-exempt status automatically revoked under the law because they have not filed Form 990 series returns or notices annually for three consecutive years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3EE04D0"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4D3B72D8" w14:textId="244164D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C8AB0F8" wp14:editId="3FC283A7">
                  <wp:extent cx="447675" cy="447675"/>
                  <wp:effectExtent l="0" t="0" r="9525" b="9525"/>
                  <wp:docPr id="30" name="Picture 3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7CB1B167" w14:textId="59B8AAC9"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FB3FF79" wp14:editId="20BBA514">
                  <wp:extent cx="447675" cy="447675"/>
                  <wp:effectExtent l="0" t="0" r="9525" b="9525"/>
                  <wp:docPr id="29" name="Picture 2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22B35CBB" w14:textId="77777777" w:rsidTr="00FF2D27">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528018F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Publication 78 (PUB 78) - Public</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174A34B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14D41AEF" w14:textId="77777777" w:rsidR="00FF2D27" w:rsidRPr="00FF2D27" w:rsidRDefault="00FF2D27" w:rsidP="00FF2D27">
            <w:p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Lists of organizations that can receive tax-deductible contributions.</w:t>
            </w:r>
          </w:p>
          <w:p w14:paraId="2819F1E2" w14:textId="77777777" w:rsidR="00FF2D27" w:rsidRPr="00FF2D27" w:rsidRDefault="00FF2D27" w:rsidP="00FF2D27">
            <w:pPr>
              <w:numPr>
                <w:ilvl w:val="0"/>
                <w:numId w:val="1"/>
              </w:num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Users may rely on this list in determining deductibility of </w:t>
            </w:r>
            <w:r w:rsidRPr="00FF2D27">
              <w:rPr>
                <w:rFonts w:ascii="inherit" w:eastAsia="Times New Roman" w:hAnsi="inherit" w:cs="Times New Roman"/>
                <w:sz w:val="24"/>
                <w:szCs w:val="24"/>
              </w:rPr>
              <w:lastRenderedPageBreak/>
              <w:t>their contributions.</w:t>
            </w:r>
          </w:p>
          <w:p w14:paraId="06612147" w14:textId="77777777" w:rsidR="00FF2D27" w:rsidRPr="00FF2D27" w:rsidRDefault="00FF2D27" w:rsidP="00FF2D27">
            <w:pPr>
              <w:numPr>
                <w:ilvl w:val="0"/>
                <w:numId w:val="1"/>
              </w:num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If an organization uses a “doing business as” (DBA) name, that name will not be listed in the Pub 78 Data. Only the organization’s official name submitted to the IRS is included in the data set.</w:t>
            </w:r>
          </w:p>
          <w:p w14:paraId="574660C8" w14:textId="77777777" w:rsidR="00FF2D27" w:rsidRPr="00FF2D27" w:rsidRDefault="00FF2D27" w:rsidP="00FF2D27">
            <w:pPr>
              <w:numPr>
                <w:ilvl w:val="0"/>
                <w:numId w:val="1"/>
              </w:num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Some </w:t>
            </w:r>
            <w:proofErr w:type="spellStart"/>
            <w:r w:rsidRPr="00FF2D27">
              <w:rPr>
                <w:rFonts w:ascii="inherit" w:eastAsia="Times New Roman" w:hAnsi="inherit" w:cs="Times New Roman"/>
                <w:sz w:val="24"/>
                <w:szCs w:val="24"/>
              </w:rPr>
              <w:t>donees</w:t>
            </w:r>
            <w:proofErr w:type="spellEnd"/>
            <w:r w:rsidRPr="00FF2D27">
              <w:rPr>
                <w:rFonts w:ascii="inherit" w:eastAsia="Times New Roman" w:hAnsi="inherit" w:cs="Times New Roman"/>
                <w:sz w:val="24"/>
                <w:szCs w:val="24"/>
              </w:rPr>
              <w:t xml:space="preserve"> (i.e., churches, group ruling subordinates, and governmental </w:t>
            </w:r>
            <w:r w:rsidRPr="00FF2D27">
              <w:rPr>
                <w:rFonts w:ascii="inherit" w:eastAsia="Times New Roman" w:hAnsi="inherit" w:cs="Times New Roman"/>
                <w:sz w:val="24"/>
                <w:szCs w:val="24"/>
              </w:rPr>
              <w:lastRenderedPageBreak/>
              <w:t xml:space="preserve">units) eligible to receive tax-deductible charitable contributions may not be listed in Pub. 78 Data. For more information see, Other Eligible </w:t>
            </w:r>
            <w:proofErr w:type="spellStart"/>
            <w:r w:rsidRPr="00FF2D27">
              <w:rPr>
                <w:rFonts w:ascii="inherit" w:eastAsia="Times New Roman" w:hAnsi="inherit" w:cs="Times New Roman"/>
                <w:sz w:val="24"/>
                <w:szCs w:val="24"/>
              </w:rPr>
              <w:t>Donees</w:t>
            </w:r>
            <w:proofErr w:type="spellEnd"/>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41FBB72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hideMark/>
          </w:tcPr>
          <w:p w14:paraId="70ADBBCA" w14:textId="38821C32"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75C95A7" wp14:editId="26B63E55">
                  <wp:extent cx="447675" cy="447675"/>
                  <wp:effectExtent l="0" t="0" r="9525" b="9525"/>
                  <wp:docPr id="28" name="Picture 2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0" w:type="dxa"/>
              <w:left w:w="300" w:type="dxa"/>
              <w:bottom w:w="150" w:type="dxa"/>
              <w:right w:w="300" w:type="dxa"/>
            </w:tcMar>
            <w:hideMark/>
          </w:tcPr>
          <w:p w14:paraId="540A1ACF" w14:textId="74A7564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5E61990" wp14:editId="796D6422">
                  <wp:extent cx="447675" cy="447675"/>
                  <wp:effectExtent l="0" t="0" r="9525" b="9525"/>
                  <wp:docPr id="27" name="Picture 2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535493A" w14:textId="77777777" w:rsidTr="009753E9">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55F92A21" w14:textId="6484B3A9"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Form 990-N (e-Postcard) - Public</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52D216A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60BC806D" w14:textId="6D26A80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Form 990-N (e-Postcard) is an annual electronic notice most small tax-exempt organizations (annual gross receipts normally $50,000 or less) are eligible to file instead o</w:t>
            </w:r>
            <w:r w:rsidR="007B30A0">
              <w:rPr>
                <w:rFonts w:ascii="inherit" w:eastAsia="Times New Roman" w:hAnsi="inherit" w:cs="Times New Roman"/>
                <w:sz w:val="24"/>
                <w:szCs w:val="24"/>
              </w:rPr>
              <w:t>f</w:t>
            </w:r>
            <w:r w:rsidRPr="00FF2D27">
              <w:rPr>
                <w:rFonts w:ascii="inherit" w:eastAsia="Times New Roman" w:hAnsi="inherit" w:cs="Times New Roman"/>
                <w:sz w:val="24"/>
                <w:szCs w:val="24"/>
              </w:rPr>
              <w:t xml:space="preserve"> Form 990 or Form 990-EZ</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3A97BB6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hideMark/>
          </w:tcPr>
          <w:p w14:paraId="69FE18AA" w14:textId="35ACD0A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376F6063" wp14:editId="2EDB7F3B">
                  <wp:extent cx="447675" cy="447675"/>
                  <wp:effectExtent l="0" t="0" r="9525" b="9525"/>
                  <wp:docPr id="26" name="Picture 2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300" w:type="dxa"/>
              <w:bottom w:w="150" w:type="dxa"/>
              <w:right w:w="300" w:type="dxa"/>
            </w:tcMar>
            <w:hideMark/>
          </w:tcPr>
          <w:p w14:paraId="54052A51" w14:textId="3C3B8414"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6D17CD9" wp14:editId="14668651">
                  <wp:extent cx="447675" cy="447675"/>
                  <wp:effectExtent l="0" t="0" r="9525" b="9525"/>
                  <wp:docPr id="25" name="Picture 2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0C8BEADB"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847342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List of Excluded Individuals and Entities (LEIE) - Public &amp;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EA970B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HHS OIG</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755642E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regarding individuals and entities currently excluded from participation in Medicare, Medicaid, and all other federal health care programs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951355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0B791977" w14:textId="47C567F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DAF643A" wp14:editId="2B647411">
                  <wp:extent cx="447675" cy="447675"/>
                  <wp:effectExtent l="0" t="0" r="9525" b="9525"/>
                  <wp:docPr id="24" name="Picture 2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FD29431" w14:textId="04FBA6D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7CA4E546" wp14:editId="3626AE5B">
                  <wp:extent cx="447675" cy="447675"/>
                  <wp:effectExtent l="0" t="0" r="9525" b="9525"/>
                  <wp:docPr id="23" name="Picture 2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7954D28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EBD78D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Office of Foreign Assets Control (OFAC)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75D2EE6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Treasury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8100AA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a list of individuals and companies owned or controlled by, or acting for or on behalf of, targeted countries. It also lists individuals, groups, and entities, such as terrorists and narcotics traffickers designated under programs that are not country specific; collectively, such </w:t>
            </w:r>
            <w:r w:rsidRPr="00FF2D27">
              <w:rPr>
                <w:rFonts w:ascii="inherit" w:eastAsia="Times New Roman" w:hAnsi="inherit" w:cs="Times New Roman"/>
                <w:sz w:val="24"/>
                <w:szCs w:val="24"/>
              </w:rPr>
              <w:lastRenderedPageBreak/>
              <w:t>individuals and companies are called "Specially Designated Nationals" or "SDNs"; their assets are blocked, and U.S. persons are generally prohibited from doing business with them</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A76906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118E7512" w14:textId="308C9EF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CFCB752" wp14:editId="0E997791">
                  <wp:extent cx="447675" cy="447675"/>
                  <wp:effectExtent l="0" t="0" r="9525" b="9525"/>
                  <wp:docPr id="22" name="Picture 2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212DE91D" w14:textId="195A909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611BF98" wp14:editId="055E9A85">
                  <wp:extent cx="447675" cy="447675"/>
                  <wp:effectExtent l="0" t="0" r="9525" b="9525"/>
                  <wp:docPr id="21" name="Picture 2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45C7D32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61C77F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System for Award Management (SAM) Entity Registration Records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D32A46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GSA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ADAF32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entity registration data publicly available under the Freedom of Information Act for those entities registered in SAM to do business with the federal government in accordance with the Federal Acquisitions Regulation (FAR)</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CAF7EF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63A72C29" w14:textId="7CB08F8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1F01F42" wp14:editId="58EC4F71">
                  <wp:extent cx="447675" cy="447675"/>
                  <wp:effectExtent l="0" t="0" r="9525" b="9525"/>
                  <wp:docPr id="20" name="Picture 2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F561DF4" w14:textId="21F0A7C1"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3EBF62E" wp14:editId="69FCCA7A">
                  <wp:extent cx="466725" cy="466725"/>
                  <wp:effectExtent l="0" t="0" r="9525" b="9525"/>
                  <wp:docPr id="19" name="Picture 1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Analytics only, receiving public fields and matching</w:t>
            </w:r>
          </w:p>
        </w:tc>
      </w:tr>
      <w:tr w:rsidR="00FF2D27" w:rsidRPr="00FF2D27" w14:paraId="5895F9A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DFD9F1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SAM Exclusion Records - Public &amp;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5CD409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GSA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330D9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the data for all active exclusion records entered by the federal government identifying those parties excluded from receiving federal contracts, certain subcontracts, and federal financial and non-financial assistance and benefits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79DFB1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22B60D34" w14:textId="47BB406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E4FF5F7" wp14:editId="3C3E93DC">
                  <wp:extent cx="447675" cy="447675"/>
                  <wp:effectExtent l="0" t="0" r="9525" b="9525"/>
                  <wp:docPr id="18" name="Picture 1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D253CB0" w14:textId="00C6063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C9BC180" wp14:editId="3C6EC69B">
                  <wp:extent cx="466725" cy="466725"/>
                  <wp:effectExtent l="0" t="0" r="9525" b="9525"/>
                  <wp:docPr id="17" name="Picture 1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Public only</w:t>
            </w:r>
          </w:p>
        </w:tc>
      </w:tr>
      <w:tr w:rsidR="00FF2D27" w:rsidRPr="00FF2D27" w14:paraId="2C9BA23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0C96C9E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*Department of Agriculture’s National Disqualified List (NDL)</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0FCCFED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USDA</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6590FA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information on providers that are ineligible to receive federal funding for a meals program, including agencies, individuals, and institutions who have been found to have serious deficiencies in </w:t>
            </w:r>
            <w:r w:rsidRPr="00FF2D27">
              <w:rPr>
                <w:rFonts w:ascii="inherit" w:eastAsia="Times New Roman" w:hAnsi="inherit" w:cs="Times New Roman"/>
                <w:sz w:val="24"/>
                <w:szCs w:val="24"/>
              </w:rPr>
              <w:lastRenderedPageBreak/>
              <w:t>administration or documentation</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1B9CD6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30091B65" w14:textId="5CB267CE"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E5B0AE3" wp14:editId="5660DAB0">
                  <wp:extent cx="447675" cy="447675"/>
                  <wp:effectExtent l="0" t="0" r="9525" b="9525"/>
                  <wp:docPr id="16" name="Picture 1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686CAFA8" w14:textId="63EBB35B"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35BD99EE" wp14:editId="19260DCA">
                  <wp:extent cx="447675" cy="447675"/>
                  <wp:effectExtent l="0" t="0" r="9525" b="9525"/>
                  <wp:docPr id="15" name="Picture 1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6086BF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9A9E35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*HHS National Plan &amp; Provider Enumeration System (NPPES)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3582E9D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HHS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7A513B7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approved health care providers and health plans; data includes a National Provider Identifier which is unique to the business and is used across various government agencies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96308B8" w14:textId="12771A51" w:rsidR="00FF2D27" w:rsidRPr="00FF2D27" w:rsidRDefault="00FF2D27" w:rsidP="00FF2D27">
            <w:pPr>
              <w:spacing w:after="0" w:line="240" w:lineRule="auto"/>
              <w:jc w:val="center"/>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07522F39" w14:textId="29FD3EFB"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5C715DA" wp14:editId="114F4B02">
                  <wp:extent cx="447675" cy="447675"/>
                  <wp:effectExtent l="0" t="0" r="9525" b="9525"/>
                  <wp:docPr id="14" name="Picture 1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76EA4FE8" w14:textId="702526C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19E3699" wp14:editId="3A51D355">
                  <wp:extent cx="447675" cy="447675"/>
                  <wp:effectExtent l="0" t="0" r="9525" b="9525"/>
                  <wp:docPr id="13" name="Picture 1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3327F89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C21F5B5"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DEBT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DDC15F2" w14:textId="7E39433E"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F429BB0"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 xml:space="preserve">Verify if an individual or entity is delinquent, owes non-tax </w:t>
            </w:r>
            <w:r w:rsidRPr="00FF2D27">
              <w:rPr>
                <w:rFonts w:ascii="inherit" w:eastAsia="Times New Roman" w:hAnsi="inherit" w:cs="Times New Roman"/>
                <w:b/>
                <w:bCs/>
                <w:i/>
                <w:iCs/>
                <w:color w:val="FFFFFF"/>
                <w:sz w:val="33"/>
                <w:szCs w:val="33"/>
              </w:rPr>
              <w:lastRenderedPageBreak/>
              <w:t>debt, or child support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95B804F" w14:textId="75D5A85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26563A95" w14:textId="20A892D6"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55121E79" w14:textId="7E15E53E"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0F80FFC4"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F77F97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Credit Alert System (CAIVRS)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8AA30C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DOJ, HUD, SBA, USDA &amp; VA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41F423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loan applicants that have any federal debt that is currently in default or foreclosure or has had a claim paid by the reporting agency within the last three years</w:t>
            </w:r>
            <w:r w:rsidRPr="00FF2D27">
              <w:rPr>
                <w:rFonts w:ascii="inherit" w:eastAsia="Times New Roman" w:hAnsi="inherit" w:cs="Times New Roman"/>
                <w:sz w:val="24"/>
                <w:szCs w:val="24"/>
              </w:rPr>
              <w:br/>
              <w:t>Although CAIVRS may not identify all federal "delinquent debt" or "prior losses," it is a valuable resource for "delinquent debt."</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E3C7A6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4131426C" w14:textId="17A65C52"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DA13C5D" wp14:editId="31F17871">
                  <wp:extent cx="447675" cy="447675"/>
                  <wp:effectExtent l="0" t="0" r="9525" b="9525"/>
                  <wp:docPr id="12" name="Picture 1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9CE0420" w14:textId="62C2E90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D9578C8" wp14:editId="3246D76B">
                  <wp:extent cx="466725" cy="466725"/>
                  <wp:effectExtent l="0" t="0" r="9525" b="9525"/>
                  <wp:docPr id="11" name="Picture 1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Analytics only, HUD, SBA, USDA feeds only</w:t>
            </w:r>
          </w:p>
        </w:tc>
      </w:tr>
      <w:tr w:rsidR="00FF2D27" w:rsidRPr="00FF2D27" w14:paraId="2EE52C6A"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2E0C84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Treasury Offset Program (TOP) Debt Check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46F85C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Treasury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56D3D6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data on individuals who are delinquent on non-tax debts and child support obligations to </w:t>
            </w:r>
            <w:r w:rsidRPr="00FF2D27">
              <w:rPr>
                <w:rFonts w:ascii="inherit" w:eastAsia="Times New Roman" w:hAnsi="inherit" w:cs="Times New Roman"/>
                <w:sz w:val="24"/>
                <w:szCs w:val="24"/>
              </w:rPr>
              <w:lastRenderedPageBreak/>
              <w:t>the federal government (and participating states) if allowed by agency statute and regulations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AD86A4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xml:space="preserve">Online Search, Batch Matching, Continuous </w:t>
            </w:r>
            <w:r w:rsidRPr="00FF2D27">
              <w:rPr>
                <w:rFonts w:ascii="inherit" w:eastAsia="Times New Roman" w:hAnsi="inherit" w:cs="Times New Roman"/>
                <w:sz w:val="24"/>
                <w:szCs w:val="24"/>
              </w:rPr>
              <w:lastRenderedPageBreak/>
              <w:t>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0B724744" w14:textId="6C6BE888"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lastRenderedPageBreak/>
              <w:drawing>
                <wp:inline distT="0" distB="0" distL="0" distR="0" wp14:anchorId="0A474A18" wp14:editId="0C09BB87">
                  <wp:extent cx="447675" cy="447675"/>
                  <wp:effectExtent l="0" t="0" r="9525" b="9525"/>
                  <wp:docPr id="10" name="Picture 1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A24BFF7" w14:textId="596D7C4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BF223BD" wp14:editId="4B355E3F">
                  <wp:extent cx="466725" cy="466725"/>
                  <wp:effectExtent l="0" t="0" r="9525" b="9525"/>
                  <wp:docPr id="9" name="Picture 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FF2D27" w:rsidRPr="00FF2D27" w14:paraId="19BFA6DA"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28E5B580"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INCARCERATION</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F70C4EC" w14:textId="290882FF"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43F47E8"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Verify if an individual is incarcerated in federal prison</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3AB675A2" w14:textId="469633B3"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4CBA67D" w14:textId="0B4A2350"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13BECCB3" w14:textId="363959E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04DB7E88" w14:textId="77777777" w:rsidTr="009753E9">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6870B90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*Bureau of Prisons Data (BOP)</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47775ED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BOP</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497D5BE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information on incarcerated individuals under the jurisdiction of the U.S. Attorney General Does not contain state, county, local, or private incarceration records. Verifies eligibility for benefits </w:t>
            </w:r>
            <w:r w:rsidRPr="00FF2D27">
              <w:rPr>
                <w:rFonts w:ascii="inherit" w:eastAsia="Times New Roman" w:hAnsi="inherit" w:cs="Times New Roman"/>
                <w:sz w:val="24"/>
                <w:szCs w:val="24"/>
              </w:rPr>
              <w:lastRenderedPageBreak/>
              <w:t>which are prohibited or adjusted for prisoners (Veterans’ Health Benefits, Social Security, Means-Based benefits).</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vAlign w:val="center"/>
            <w:hideMark/>
          </w:tcPr>
          <w:p w14:paraId="693AAC6A" w14:textId="24D5B296" w:rsidR="00FF2D27" w:rsidRPr="00FF2D27" w:rsidRDefault="009753E9"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auto"/>
            <w:tcMar>
              <w:top w:w="150" w:type="dxa"/>
              <w:left w:w="300" w:type="dxa"/>
              <w:bottom w:w="150" w:type="dxa"/>
              <w:right w:w="300" w:type="dxa"/>
            </w:tcMar>
            <w:hideMark/>
          </w:tcPr>
          <w:p w14:paraId="0AF54B02" w14:textId="53CEF80E"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35207E1" wp14:editId="4D731A90">
                  <wp:extent cx="447675" cy="447675"/>
                  <wp:effectExtent l="0" t="0" r="9525" b="9525"/>
                  <wp:docPr id="8" name="Picture 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300" w:type="dxa"/>
              <w:bottom w:w="150" w:type="dxa"/>
              <w:right w:w="300" w:type="dxa"/>
            </w:tcMar>
            <w:hideMark/>
          </w:tcPr>
          <w:p w14:paraId="7F4B3FCC" w14:textId="2E3B0878" w:rsidR="00FF2D27" w:rsidRPr="00FF2D27" w:rsidRDefault="00D14A6E"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9C0AF59" wp14:editId="6013B54F">
                  <wp:extent cx="466725" cy="466725"/>
                  <wp:effectExtent l="0" t="0" r="9525" b="9525"/>
                  <wp:docPr id="663882907" name="Picture 66388290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FF2D27" w:rsidRPr="00FF2D27" w14:paraId="051AA16E"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391DFF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MULTI-USE</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3E4A58FB" w14:textId="563E7220"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5446309" w14:textId="34AD0C65"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6B981F8B" w14:textId="6DC13F34"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5FEF814" w14:textId="29A296C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617FF659" w14:textId="5D7FA89C"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73BA044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9AFBE6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*DNP Adjudication Data</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628F75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Fiscal Service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3CA4E69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from Do Not Pay customers regarding a determination of whether a payment is proper, improper, or under review as well as any comments associated with the determination</w:t>
            </w:r>
            <w:r w:rsidRPr="00FF2D27">
              <w:rPr>
                <w:rFonts w:ascii="inherit" w:eastAsia="Times New Roman" w:hAnsi="inherit" w:cs="Times New Roman"/>
                <w:sz w:val="24"/>
                <w:szCs w:val="24"/>
              </w:rPr>
              <w:br/>
            </w:r>
            <w:r w:rsidRPr="00FF2D27">
              <w:rPr>
                <w:rFonts w:ascii="inherit" w:eastAsia="Times New Roman" w:hAnsi="inherit" w:cs="Times New Roman"/>
                <w:i/>
                <w:iCs/>
                <w:sz w:val="24"/>
                <w:szCs w:val="24"/>
              </w:rPr>
              <w:t xml:space="preserve">Risk-modeling is available to assist customers in prioritizing research that has been </w:t>
            </w:r>
            <w:r w:rsidRPr="00FF2D27">
              <w:rPr>
                <w:rFonts w:ascii="inherit" w:eastAsia="Times New Roman" w:hAnsi="inherit" w:cs="Times New Roman"/>
                <w:i/>
                <w:iCs/>
                <w:sz w:val="24"/>
                <w:szCs w:val="24"/>
              </w:rPr>
              <w:lastRenderedPageBreak/>
              <w:t>completed by other agencies and is more likely to result in a proper or improper determination.</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D2E4A74" w14:textId="057451BA" w:rsidR="00FF2D27" w:rsidRPr="00FF2D27" w:rsidRDefault="00FF2D27" w:rsidP="00FF2D27">
            <w:pPr>
              <w:spacing w:after="0" w:line="240" w:lineRule="auto"/>
              <w:jc w:val="center"/>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13EB0EB3" w14:textId="3468B7B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523CE1A" wp14:editId="5706A159">
                  <wp:extent cx="447675" cy="447675"/>
                  <wp:effectExtent l="0" t="0" r="9525" b="9525"/>
                  <wp:docPr id="6" name="Picture 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3B9F923D" w14:textId="2FF1539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9A66661" wp14:editId="03C176A5">
                  <wp:extent cx="447675" cy="447675"/>
                  <wp:effectExtent l="0" t="0" r="9525" b="9525"/>
                  <wp:docPr id="5" name="Picture 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E33AFA9"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242002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*Payments, Claims, and Enhanced Reconciliations (PACER)</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790C265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Fiscal Service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227B97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records of payments made on behalf of the federal government and information on any action taken after a payment has been disbursed; this may include offset activities, disputes, or reclamation, and return of funds due to a death</w:t>
            </w:r>
            <w:r w:rsidRPr="00FF2D27">
              <w:rPr>
                <w:rFonts w:ascii="inherit" w:eastAsia="Times New Roman" w:hAnsi="inherit" w:cs="Times New Roman"/>
                <w:sz w:val="24"/>
                <w:szCs w:val="24"/>
              </w:rPr>
              <w:br/>
            </w:r>
            <w:r w:rsidRPr="00FF2D27">
              <w:rPr>
                <w:rFonts w:ascii="inherit" w:eastAsia="Times New Roman" w:hAnsi="inherit" w:cs="Times New Roman"/>
                <w:i/>
                <w:iCs/>
                <w:sz w:val="24"/>
                <w:szCs w:val="24"/>
              </w:rPr>
              <w:t xml:space="preserve">Additional high-quality death data source that can act as an enterprise-wide tool to notify agencies to escalate debt collection </w:t>
            </w:r>
            <w:r w:rsidRPr="00FF2D27">
              <w:rPr>
                <w:rFonts w:ascii="inherit" w:eastAsia="Times New Roman" w:hAnsi="inherit" w:cs="Times New Roman"/>
                <w:i/>
                <w:iCs/>
                <w:sz w:val="24"/>
                <w:szCs w:val="24"/>
              </w:rPr>
              <w:lastRenderedPageBreak/>
              <w:t>before additional payments are made.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2902C66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6A820B6C" w14:textId="72C5DCD0"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FB27427" wp14:editId="77A0E6DE">
                  <wp:extent cx="447675" cy="447675"/>
                  <wp:effectExtent l="0" t="0" r="9525" b="9525"/>
                  <wp:docPr id="4" name="Picture 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19FD1C4F" w14:textId="2DF41BD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C1EB8A2" wp14:editId="636ED527">
                  <wp:extent cx="466725" cy="466725"/>
                  <wp:effectExtent l="0" t="0" r="9525" b="9525"/>
                  <wp:docPr id="3"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bl>
    <w:p w14:paraId="0F5EF60F" w14:textId="77777777" w:rsidR="00FF2D27" w:rsidRPr="00FF2D27" w:rsidRDefault="00FF2D27" w:rsidP="00FF2D27">
      <w:pPr>
        <w:pBdr>
          <w:top w:val="single" w:sz="24" w:space="4" w:color="auto"/>
          <w:left w:val="single" w:sz="24" w:space="4" w:color="auto"/>
          <w:bottom w:val="single" w:sz="24" w:space="4" w:color="auto"/>
          <w:right w:val="single" w:sz="24" w:space="4" w:color="auto"/>
        </w:pBdr>
        <w:shd w:val="clear" w:color="auto" w:fill="ECF7F7"/>
        <w:spacing w:after="0" w:line="240" w:lineRule="auto"/>
        <w:rPr>
          <w:rFonts w:ascii="inherit" w:eastAsia="Times New Roman" w:hAnsi="inherit" w:cs="Times New Roman"/>
          <w:sz w:val="24"/>
          <w:szCs w:val="24"/>
        </w:rPr>
      </w:pPr>
      <w:r w:rsidRPr="00FF2D27">
        <w:rPr>
          <w:rFonts w:ascii="inherit" w:eastAsia="Times New Roman" w:hAnsi="inherit" w:cs="Times New Roman"/>
          <w:b/>
          <w:bCs/>
          <w:sz w:val="24"/>
          <w:szCs w:val="24"/>
        </w:rPr>
        <w:t>*New Data Sources Coming Soon to the Do Not Pay Portal!</w:t>
      </w:r>
    </w:p>
    <w:p w14:paraId="5D8BFBEF" w14:textId="77777777" w:rsidR="001A4658" w:rsidRDefault="001A4658"/>
    <w:sectPr w:rsidR="001A4658" w:rsidSect="00FF2D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55752"/>
    <w:multiLevelType w:val="multilevel"/>
    <w:tmpl w:val="4FB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99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27"/>
    <w:rsid w:val="0012175D"/>
    <w:rsid w:val="001A4658"/>
    <w:rsid w:val="00394310"/>
    <w:rsid w:val="0051496E"/>
    <w:rsid w:val="006B77EC"/>
    <w:rsid w:val="007147A8"/>
    <w:rsid w:val="00743139"/>
    <w:rsid w:val="007867F6"/>
    <w:rsid w:val="007B30A0"/>
    <w:rsid w:val="007B6E37"/>
    <w:rsid w:val="007C0486"/>
    <w:rsid w:val="009753E9"/>
    <w:rsid w:val="009E762B"/>
    <w:rsid w:val="00CC4EAF"/>
    <w:rsid w:val="00D14A6E"/>
    <w:rsid w:val="00D461D6"/>
    <w:rsid w:val="00F653CB"/>
    <w:rsid w:val="00FF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7687"/>
  <w15:chartTrackingRefBased/>
  <w15:docId w15:val="{3213C918-437C-490C-8393-2C631941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disclaimer">
    <w:name w:val="table-disclaimer"/>
    <w:basedOn w:val="Normal"/>
    <w:rsid w:val="00FF2D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2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D27"/>
    <w:rPr>
      <w:b/>
      <w:bCs/>
    </w:rPr>
  </w:style>
  <w:style w:type="character" w:styleId="Emphasis">
    <w:name w:val="Emphasis"/>
    <w:basedOn w:val="DefaultParagraphFont"/>
    <w:uiPriority w:val="20"/>
    <w:qFormat/>
    <w:rsid w:val="00FF2D27"/>
    <w:rPr>
      <w:i/>
      <w:iCs/>
    </w:rPr>
  </w:style>
  <w:style w:type="paragraph" w:styleId="Revision">
    <w:name w:val="Revision"/>
    <w:hidden/>
    <w:uiPriority w:val="99"/>
    <w:semiHidden/>
    <w:rsid w:val="00394310"/>
    <w:pPr>
      <w:spacing w:after="0" w:line="240" w:lineRule="auto"/>
    </w:pPr>
  </w:style>
  <w:style w:type="character" w:styleId="Hyperlink">
    <w:name w:val="Hyperlink"/>
    <w:basedOn w:val="DefaultParagraphFont"/>
    <w:uiPriority w:val="99"/>
    <w:unhideWhenUsed/>
    <w:rsid w:val="0012175D"/>
    <w:rPr>
      <w:color w:val="0563C1" w:themeColor="hyperlink"/>
      <w:u w:val="single"/>
    </w:rPr>
  </w:style>
  <w:style w:type="character" w:styleId="UnresolvedMention">
    <w:name w:val="Unresolved Mention"/>
    <w:basedOn w:val="DefaultParagraphFont"/>
    <w:uiPriority w:val="99"/>
    <w:semiHidden/>
    <w:unhideWhenUsed/>
    <w:rsid w:val="0012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9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 Burke</dc:creator>
  <cp:keywords/>
  <dc:description/>
  <cp:lastModifiedBy>Kopic-Osmanovic, Amina</cp:lastModifiedBy>
  <cp:revision>3</cp:revision>
  <dcterms:created xsi:type="dcterms:W3CDTF">2024-10-01T21:53:00Z</dcterms:created>
  <dcterms:modified xsi:type="dcterms:W3CDTF">2025-01-30T20:52:00Z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2024-09-19T19:14:59Z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82110b1e-67f1-4960-b6a0-a4a870741806</vt:lpwstr>
  </property>
  <property fmtid="{D5CDD505-2E9C-101B-9397-08002B2CF9AE}" pid="8" name="MSIP_Label_65269c60-0483-4c57-9e8c-3779d6900235_ContentBits">
    <vt:lpwstr>0</vt:lpwstr>
  </property>
</Properties>
</file>